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2815" w14:textId="77777777" w:rsidR="00E35CEE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Maine Medical Center</w:t>
      </w:r>
    </w:p>
    <w:p w14:paraId="57198F09" w14:textId="77777777" w:rsidR="00F6518F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Emergency Medicine</w:t>
      </w:r>
    </w:p>
    <w:p w14:paraId="0A912B35" w14:textId="77777777" w:rsidR="00F6518F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Journal Club Summary Template</w:t>
      </w:r>
    </w:p>
    <w:p w14:paraId="7E33490C" w14:textId="77777777" w:rsidR="00F6518F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536"/>
      </w:tblGrid>
      <w:tr w:rsidR="00F6518F" w14:paraId="5B65C485" w14:textId="77777777" w:rsidTr="002747E5">
        <w:trPr>
          <w:trHeight w:val="260"/>
        </w:trPr>
        <w:tc>
          <w:tcPr>
            <w:tcW w:w="2268" w:type="dxa"/>
          </w:tcPr>
          <w:p w14:paraId="1086456D" w14:textId="77777777"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Date:</w:t>
            </w:r>
            <w:r w:rsidR="00722663">
              <w:rPr>
                <w:b/>
                <w:sz w:val="24"/>
                <w:szCs w:val="24"/>
              </w:rPr>
              <w:t xml:space="preserve"> </w:t>
            </w:r>
            <w:r w:rsidR="00722663" w:rsidRPr="002747E5">
              <w:rPr>
                <w:sz w:val="24"/>
                <w:szCs w:val="24"/>
              </w:rPr>
              <w:t>8/17/2017</w:t>
            </w:r>
          </w:p>
        </w:tc>
        <w:tc>
          <w:tcPr>
            <w:tcW w:w="8640" w:type="dxa"/>
          </w:tcPr>
          <w:p w14:paraId="0A222803" w14:textId="298BD0F4"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Presenter Name:</w:t>
            </w:r>
            <w:r w:rsidR="00722663">
              <w:rPr>
                <w:b/>
                <w:sz w:val="24"/>
                <w:szCs w:val="24"/>
              </w:rPr>
              <w:t xml:space="preserve"> </w:t>
            </w:r>
            <w:r w:rsidR="00722663" w:rsidRPr="002747E5">
              <w:rPr>
                <w:sz w:val="24"/>
                <w:szCs w:val="24"/>
              </w:rPr>
              <w:t>Jason Block</w:t>
            </w:r>
            <w:r w:rsidR="00B33117">
              <w:rPr>
                <w:sz w:val="24"/>
                <w:szCs w:val="24"/>
              </w:rPr>
              <w:t>, MD</w:t>
            </w:r>
          </w:p>
        </w:tc>
      </w:tr>
    </w:tbl>
    <w:p w14:paraId="6A30FC74" w14:textId="77777777" w:rsidR="00F6518F" w:rsidRDefault="00F6518F" w:rsidP="00F6518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518F" w14:paraId="7B4C80B3" w14:textId="77777777" w:rsidTr="004966C0">
        <w:tc>
          <w:tcPr>
            <w:tcW w:w="10908" w:type="dxa"/>
          </w:tcPr>
          <w:p w14:paraId="7451DBAF" w14:textId="77777777"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 xml:space="preserve">Article Citation: </w:t>
            </w:r>
          </w:p>
          <w:p w14:paraId="0365B7D9" w14:textId="77777777" w:rsidR="00F6518F" w:rsidRDefault="002747E5" w:rsidP="00F6518F">
            <w:pPr>
              <w:rPr>
                <w:sz w:val="24"/>
                <w:szCs w:val="24"/>
              </w:rPr>
            </w:pPr>
            <w:r w:rsidRPr="002747E5">
              <w:rPr>
                <w:sz w:val="24"/>
                <w:szCs w:val="24"/>
              </w:rPr>
              <w:t>Abetz JW, Adams NG, Mitra B. Skin and soft tissue infection management failure in the emergency department observation unit: a systematic review. Emerg Med J. 2016</w:t>
            </w:r>
            <w:r>
              <w:rPr>
                <w:sz w:val="24"/>
                <w:szCs w:val="24"/>
              </w:rPr>
              <w:t>;0: 1-6.</w:t>
            </w:r>
          </w:p>
          <w:p w14:paraId="704AA944" w14:textId="77777777" w:rsidR="00F6518F" w:rsidRDefault="00F6518F" w:rsidP="00F6518F">
            <w:pPr>
              <w:rPr>
                <w:sz w:val="24"/>
                <w:szCs w:val="24"/>
              </w:rPr>
            </w:pPr>
          </w:p>
        </w:tc>
      </w:tr>
      <w:tr w:rsidR="00F6518F" w14:paraId="5CA79F9E" w14:textId="77777777" w:rsidTr="004966C0">
        <w:tc>
          <w:tcPr>
            <w:tcW w:w="10908" w:type="dxa"/>
          </w:tcPr>
          <w:p w14:paraId="40F23B8D" w14:textId="77777777" w:rsid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Country(ies):</w:t>
            </w:r>
          </w:p>
          <w:p w14:paraId="27E3790D" w14:textId="77777777" w:rsidR="00F6518F" w:rsidRPr="002747E5" w:rsidRDefault="002747E5" w:rsidP="00F6518F">
            <w:pPr>
              <w:rPr>
                <w:sz w:val="24"/>
                <w:szCs w:val="24"/>
              </w:rPr>
            </w:pPr>
            <w:r w:rsidRPr="002747E5">
              <w:rPr>
                <w:sz w:val="24"/>
                <w:szCs w:val="24"/>
              </w:rPr>
              <w:t xml:space="preserve">Australia </w:t>
            </w:r>
          </w:p>
        </w:tc>
      </w:tr>
      <w:tr w:rsidR="00F6518F" w14:paraId="28529790" w14:textId="77777777" w:rsidTr="002747E5">
        <w:trPr>
          <w:trHeight w:val="584"/>
        </w:trPr>
        <w:tc>
          <w:tcPr>
            <w:tcW w:w="10908" w:type="dxa"/>
          </w:tcPr>
          <w:p w14:paraId="25A35D92" w14:textId="77777777" w:rsid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 xml:space="preserve">Funding Source(s): </w:t>
            </w:r>
          </w:p>
          <w:p w14:paraId="07497678" w14:textId="68D1BB23" w:rsidR="00F6518F" w:rsidRPr="00F6518F" w:rsidRDefault="00101637" w:rsidP="00F651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F6518F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F6518F">
              <w:rPr>
                <w:sz w:val="24"/>
                <w:szCs w:val="24"/>
              </w:rPr>
              <w:t>None Stated</w:t>
            </w:r>
          </w:p>
        </w:tc>
      </w:tr>
    </w:tbl>
    <w:p w14:paraId="038D2B1C" w14:textId="77777777" w:rsidR="00F6518F" w:rsidRDefault="00F6518F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518F" w14:paraId="0991E958" w14:textId="77777777" w:rsidTr="004966C0">
        <w:tc>
          <w:tcPr>
            <w:tcW w:w="10908" w:type="dxa"/>
            <w:shd w:val="clear" w:color="auto" w:fill="D9D9D9" w:themeFill="background1" w:themeFillShade="D9"/>
          </w:tcPr>
          <w:p w14:paraId="59BB82B3" w14:textId="77777777" w:rsidR="00F6518F" w:rsidRPr="00F6518F" w:rsidRDefault="00F6518F" w:rsidP="00F65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</w:tr>
      <w:tr w:rsidR="00F6518F" w14:paraId="19D0DF1F" w14:textId="77777777" w:rsidTr="004966C0">
        <w:tc>
          <w:tcPr>
            <w:tcW w:w="10908" w:type="dxa"/>
          </w:tcPr>
          <w:p w14:paraId="3DB1800E" w14:textId="77777777"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Research Question(s):</w:t>
            </w:r>
          </w:p>
          <w:p w14:paraId="5D8A5D92" w14:textId="65FEBC4E" w:rsidR="00F6518F" w:rsidRDefault="006F0D7D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risk factors associated with treatment failure for skin/soft tissue infections</w:t>
            </w:r>
            <w:r w:rsidR="00EB50E0">
              <w:rPr>
                <w:sz w:val="24"/>
                <w:szCs w:val="24"/>
              </w:rPr>
              <w:t>?</w:t>
            </w:r>
          </w:p>
          <w:p w14:paraId="6B00326B" w14:textId="019B25E4" w:rsidR="00F07843" w:rsidRDefault="00F07843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management failure rate for skin/soft tissue infections in ED observation units?</w:t>
            </w:r>
          </w:p>
          <w:p w14:paraId="203484A1" w14:textId="77777777" w:rsidR="00F6518F" w:rsidRDefault="00F6518F" w:rsidP="00F6518F">
            <w:pPr>
              <w:jc w:val="right"/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"/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None Stated</w:t>
            </w:r>
          </w:p>
        </w:tc>
      </w:tr>
      <w:tr w:rsidR="00F6518F" w14:paraId="56C5A51C" w14:textId="77777777" w:rsidTr="004966C0">
        <w:tc>
          <w:tcPr>
            <w:tcW w:w="10908" w:type="dxa"/>
          </w:tcPr>
          <w:p w14:paraId="7D0C5870" w14:textId="77777777"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Hypotheses</w:t>
            </w:r>
            <w:r w:rsidRPr="00F6518F">
              <w:rPr>
                <w:b/>
                <w:sz w:val="24"/>
                <w:szCs w:val="24"/>
              </w:rPr>
              <w:t>:</w:t>
            </w:r>
          </w:p>
          <w:p w14:paraId="5DA9B905" w14:textId="77777777" w:rsidR="00F6518F" w:rsidRDefault="00F6518F" w:rsidP="00F6518F">
            <w:pPr>
              <w:rPr>
                <w:sz w:val="24"/>
                <w:szCs w:val="24"/>
              </w:rPr>
            </w:pPr>
          </w:p>
          <w:p w14:paraId="532BEA3A" w14:textId="30B19C96" w:rsidR="00F6518F" w:rsidRDefault="00765A5E" w:rsidP="00F6518F">
            <w:pPr>
              <w:jc w:val="right"/>
              <w:rPr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F6518F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F6518F">
              <w:rPr>
                <w:sz w:val="24"/>
                <w:szCs w:val="24"/>
              </w:rPr>
              <w:t>None Stated</w:t>
            </w:r>
          </w:p>
        </w:tc>
      </w:tr>
      <w:tr w:rsidR="00F6518F" w14:paraId="39DDD41B" w14:textId="77777777" w:rsidTr="004966C0">
        <w:tc>
          <w:tcPr>
            <w:tcW w:w="10908" w:type="dxa"/>
          </w:tcPr>
          <w:p w14:paraId="775C0E8B" w14:textId="77777777"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Study Purpose:</w:t>
            </w:r>
          </w:p>
          <w:p w14:paraId="21A6CF80" w14:textId="751F74BF" w:rsidR="00F6518F" w:rsidRDefault="006F0D7D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high failure rate of management of skin/soft tissue infections in ED observation units</w:t>
            </w:r>
            <w:r w:rsidR="00EB50E0">
              <w:rPr>
                <w:sz w:val="24"/>
                <w:szCs w:val="24"/>
              </w:rPr>
              <w:t xml:space="preserve"> (up to 38% in one study)</w:t>
            </w:r>
            <w:r>
              <w:rPr>
                <w:sz w:val="24"/>
                <w:szCs w:val="24"/>
              </w:rPr>
              <w:t>.  The purpose is to identify the</w:t>
            </w:r>
            <w:r w:rsidR="00F07843">
              <w:rPr>
                <w:sz w:val="24"/>
                <w:szCs w:val="24"/>
              </w:rPr>
              <w:t xml:space="preserve"> rate of treatment failure</w:t>
            </w:r>
            <w:r w:rsidR="00FE2E8A">
              <w:rPr>
                <w:sz w:val="24"/>
                <w:szCs w:val="24"/>
              </w:rPr>
              <w:t xml:space="preserve"> and risk factors associated with treatment failure and the</w:t>
            </w:r>
            <w:r w:rsidR="005A5AEB">
              <w:rPr>
                <w:sz w:val="24"/>
                <w:szCs w:val="24"/>
              </w:rPr>
              <w:t xml:space="preserve">.  Inappropriate observation placements can contribute to ED overcrowding and delaying inpatient treatment by hospitalists.  </w:t>
            </w:r>
          </w:p>
          <w:p w14:paraId="177335A6" w14:textId="77777777" w:rsidR="00F6518F" w:rsidRDefault="00F6518F" w:rsidP="00F6518F">
            <w:pPr>
              <w:rPr>
                <w:sz w:val="24"/>
                <w:szCs w:val="24"/>
              </w:rPr>
            </w:pPr>
          </w:p>
        </w:tc>
      </w:tr>
    </w:tbl>
    <w:p w14:paraId="0E1EEF7F" w14:textId="77777777" w:rsidR="00F6518F" w:rsidRDefault="00F6518F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2018" w14:paraId="68E7D1AE" w14:textId="77777777" w:rsidTr="004966C0">
        <w:tc>
          <w:tcPr>
            <w:tcW w:w="10908" w:type="dxa"/>
            <w:shd w:val="clear" w:color="auto" w:fill="D9D9D9" w:themeFill="background1" w:themeFillShade="D9"/>
          </w:tcPr>
          <w:p w14:paraId="53D68CE3" w14:textId="77777777" w:rsidR="00522018" w:rsidRPr="00522018" w:rsidRDefault="00522018" w:rsidP="00522018">
            <w:pPr>
              <w:jc w:val="center"/>
              <w:rPr>
                <w:b/>
                <w:sz w:val="24"/>
                <w:szCs w:val="24"/>
              </w:rPr>
            </w:pPr>
            <w:r w:rsidRPr="00522018">
              <w:rPr>
                <w:b/>
                <w:sz w:val="24"/>
                <w:szCs w:val="24"/>
              </w:rPr>
              <w:t>Methods</w:t>
            </w:r>
          </w:p>
        </w:tc>
      </w:tr>
      <w:tr w:rsidR="00522018" w14:paraId="278C8E63" w14:textId="77777777" w:rsidTr="004966C0">
        <w:tc>
          <w:tcPr>
            <w:tcW w:w="10908" w:type="dxa"/>
          </w:tcPr>
          <w:p w14:paraId="2063EBA9" w14:textId="77777777" w:rsidR="00522018" w:rsidRPr="003546FB" w:rsidRDefault="00522018" w:rsidP="00F6518F">
            <w:pPr>
              <w:rPr>
                <w:b/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>Study Design:</w:t>
            </w:r>
          </w:p>
          <w:p w14:paraId="5AF80681" w14:textId="77777777" w:rsidR="00522018" w:rsidRDefault="002747E5" w:rsidP="00274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Systematic review </w:t>
            </w:r>
          </w:p>
          <w:p w14:paraId="34547801" w14:textId="77777777" w:rsidR="005A5AEB" w:rsidRDefault="005A5AEB" w:rsidP="002747E5">
            <w:pPr>
              <w:rPr>
                <w:sz w:val="24"/>
                <w:szCs w:val="24"/>
              </w:rPr>
            </w:pPr>
          </w:p>
        </w:tc>
      </w:tr>
      <w:tr w:rsidR="00522018" w14:paraId="178B47D1" w14:textId="77777777" w:rsidTr="004966C0">
        <w:tc>
          <w:tcPr>
            <w:tcW w:w="10908" w:type="dxa"/>
          </w:tcPr>
          <w:p w14:paraId="563F4581" w14:textId="77777777" w:rsidR="00522018" w:rsidRPr="003546FB" w:rsidRDefault="00522018" w:rsidP="00F6518F">
            <w:pPr>
              <w:rPr>
                <w:b/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 xml:space="preserve">Outcome(s) </w:t>
            </w:r>
            <w:r w:rsidRPr="003546FB">
              <w:rPr>
                <w:b/>
                <w:i/>
                <w:sz w:val="24"/>
                <w:szCs w:val="24"/>
              </w:rPr>
              <w:t>[or Dependent Variable]:</w:t>
            </w:r>
          </w:p>
          <w:p w14:paraId="545A4206" w14:textId="77777777" w:rsidR="00522018" w:rsidRDefault="002747E5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failure – defined as inpatient admission, stay &gt;28 hours, death</w:t>
            </w:r>
          </w:p>
          <w:p w14:paraId="25A3CA0E" w14:textId="77777777" w:rsidR="00522018" w:rsidRDefault="00522018" w:rsidP="00F6518F">
            <w:pPr>
              <w:rPr>
                <w:sz w:val="24"/>
                <w:szCs w:val="24"/>
              </w:rPr>
            </w:pPr>
          </w:p>
        </w:tc>
      </w:tr>
      <w:tr w:rsidR="00522018" w14:paraId="2C6CC59D" w14:textId="77777777" w:rsidTr="004966C0">
        <w:tc>
          <w:tcPr>
            <w:tcW w:w="10908" w:type="dxa"/>
          </w:tcPr>
          <w:p w14:paraId="554ED067" w14:textId="77777777" w:rsidR="00522018" w:rsidRPr="003546FB" w:rsidRDefault="00522018" w:rsidP="00F6518F">
            <w:pPr>
              <w:rPr>
                <w:b/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 xml:space="preserve">Intervention </w:t>
            </w:r>
            <w:r w:rsidRPr="003546FB">
              <w:rPr>
                <w:b/>
                <w:i/>
                <w:sz w:val="24"/>
                <w:szCs w:val="24"/>
              </w:rPr>
              <w:t>[or Independent Variable]:</w:t>
            </w:r>
          </w:p>
          <w:p w14:paraId="4B9DD117" w14:textId="0A2A5EA1" w:rsidR="00522018" w:rsidRDefault="00B33117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factors identified in studies</w:t>
            </w:r>
          </w:p>
          <w:p w14:paraId="006B38C0" w14:textId="77777777" w:rsidR="00522018" w:rsidRDefault="00522018" w:rsidP="00F6518F">
            <w:pPr>
              <w:rPr>
                <w:sz w:val="24"/>
                <w:szCs w:val="24"/>
              </w:rPr>
            </w:pPr>
          </w:p>
        </w:tc>
      </w:tr>
      <w:tr w:rsidR="00522018" w14:paraId="056093DE" w14:textId="77777777" w:rsidTr="004966C0">
        <w:tc>
          <w:tcPr>
            <w:tcW w:w="10908" w:type="dxa"/>
          </w:tcPr>
          <w:p w14:paraId="63E5E3C9" w14:textId="1AE25A21" w:rsidR="00522018" w:rsidRDefault="00522018" w:rsidP="00765A5E">
            <w:pPr>
              <w:rPr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>Ethics Review: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3546FB">
              <w:rPr>
                <w:sz w:val="24"/>
                <w:szCs w:val="24"/>
              </w:rPr>
              <w:t xml:space="preserve">IRB Review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IACUC Review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Other:        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 w:rsidR="00765A5E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65A5E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765A5E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None Stated</w:t>
            </w:r>
          </w:p>
        </w:tc>
      </w:tr>
      <w:tr w:rsidR="003546FB" w14:paraId="04609F63" w14:textId="77777777" w:rsidTr="004966C0">
        <w:tc>
          <w:tcPr>
            <w:tcW w:w="10908" w:type="dxa"/>
          </w:tcPr>
          <w:p w14:paraId="65154E6A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Setting:</w:t>
            </w:r>
          </w:p>
          <w:p w14:paraId="7D6E1D22" w14:textId="0D57590E" w:rsidR="003546FB" w:rsidRPr="00F07843" w:rsidRDefault="00F07843" w:rsidP="0052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States emergency departments</w:t>
            </w:r>
          </w:p>
        </w:tc>
      </w:tr>
      <w:tr w:rsidR="003546FB" w14:paraId="23589069" w14:textId="77777777" w:rsidTr="004966C0">
        <w:tc>
          <w:tcPr>
            <w:tcW w:w="10908" w:type="dxa"/>
          </w:tcPr>
          <w:p w14:paraId="09CF3A29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Study Subjects:</w:t>
            </w:r>
          </w:p>
          <w:p w14:paraId="37391147" w14:textId="30B09217" w:rsidR="00EB50E0" w:rsidRPr="00EB50E0" w:rsidRDefault="00EB50E0" w:rsidP="0052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comers admitted to observation unit </w:t>
            </w:r>
            <w:r w:rsidR="00F07843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planned stay &lt;28 hours</w:t>
            </w:r>
            <w:r w:rsidR="00F07843">
              <w:rPr>
                <w:sz w:val="24"/>
                <w:szCs w:val="24"/>
              </w:rPr>
              <w:t xml:space="preserve"> (4 hours in ED + 24 hours in observation unit</w:t>
            </w:r>
            <w:r>
              <w:rPr>
                <w:sz w:val="24"/>
                <w:szCs w:val="24"/>
              </w:rPr>
              <w:t>) with primary diagnosis of cellulitis or other skin/soft tissue infection.</w:t>
            </w:r>
          </w:p>
        </w:tc>
      </w:tr>
      <w:tr w:rsidR="003546FB" w14:paraId="056779CD" w14:textId="77777777" w:rsidTr="004966C0">
        <w:tc>
          <w:tcPr>
            <w:tcW w:w="10908" w:type="dxa"/>
          </w:tcPr>
          <w:p w14:paraId="17A8C7CA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Inclusion Criteria:</w:t>
            </w:r>
          </w:p>
          <w:p w14:paraId="41055A56" w14:textId="74E7F613" w:rsidR="003546FB" w:rsidRPr="002747E5" w:rsidRDefault="002747E5" w:rsidP="002747E5">
            <w:pPr>
              <w:rPr>
                <w:sz w:val="24"/>
                <w:szCs w:val="24"/>
              </w:rPr>
            </w:pPr>
            <w:r w:rsidRPr="002747E5">
              <w:rPr>
                <w:sz w:val="24"/>
                <w:szCs w:val="24"/>
              </w:rPr>
              <w:t>Primary diagnosis of cellulitis admitted to ED observation unit</w:t>
            </w:r>
            <w:r>
              <w:rPr>
                <w:sz w:val="24"/>
                <w:szCs w:val="24"/>
              </w:rPr>
              <w:t xml:space="preserve"> (plan for &lt;24 hour stay</w:t>
            </w:r>
            <w:r w:rsidR="00F07843">
              <w:rPr>
                <w:sz w:val="24"/>
                <w:szCs w:val="24"/>
              </w:rPr>
              <w:t xml:space="preserve"> in observation unit</w:t>
            </w:r>
            <w:r>
              <w:rPr>
                <w:sz w:val="24"/>
                <w:szCs w:val="24"/>
              </w:rPr>
              <w:t>)</w:t>
            </w:r>
          </w:p>
        </w:tc>
      </w:tr>
      <w:tr w:rsidR="003546FB" w14:paraId="21EA9C02" w14:textId="77777777" w:rsidTr="004966C0">
        <w:tc>
          <w:tcPr>
            <w:tcW w:w="10908" w:type="dxa"/>
          </w:tcPr>
          <w:p w14:paraId="6DB857CE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Exclusion Criteria:</w:t>
            </w:r>
          </w:p>
          <w:p w14:paraId="540D6BBA" w14:textId="09DDE6A4" w:rsidR="003546FB" w:rsidRPr="005A5AEB" w:rsidRDefault="005A5AEB" w:rsidP="005A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 on outpatient basis or if management failure was defined as return to the ED.  Studies also excluded from systematic review if they were not solely SSTI.   </w:t>
            </w:r>
          </w:p>
        </w:tc>
      </w:tr>
      <w:tr w:rsidR="003546FB" w14:paraId="0BF55D23" w14:textId="77777777" w:rsidTr="004966C0">
        <w:tc>
          <w:tcPr>
            <w:tcW w:w="10908" w:type="dxa"/>
          </w:tcPr>
          <w:p w14:paraId="406FBF9C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Interventions:</w:t>
            </w:r>
          </w:p>
          <w:p w14:paraId="1A169712" w14:textId="01D8359C" w:rsidR="003546FB" w:rsidRPr="00F07843" w:rsidRDefault="00F07843" w:rsidP="00522018">
            <w:pPr>
              <w:rPr>
                <w:sz w:val="24"/>
                <w:szCs w:val="24"/>
              </w:rPr>
            </w:pPr>
            <w:r w:rsidRPr="00F07843">
              <w:rPr>
                <w:sz w:val="24"/>
                <w:szCs w:val="24"/>
              </w:rPr>
              <w:t>N/A</w:t>
            </w:r>
          </w:p>
          <w:p w14:paraId="6FAE4762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14:paraId="7B659CF4" w14:textId="77777777" w:rsidTr="004966C0">
        <w:tc>
          <w:tcPr>
            <w:tcW w:w="10908" w:type="dxa"/>
          </w:tcPr>
          <w:p w14:paraId="5F02B5CB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Groups:</w:t>
            </w:r>
          </w:p>
          <w:p w14:paraId="060521CA" w14:textId="2604A3F8" w:rsidR="003546FB" w:rsidRPr="00F07843" w:rsidRDefault="00F07843" w:rsidP="00522018">
            <w:pPr>
              <w:rPr>
                <w:sz w:val="24"/>
                <w:szCs w:val="24"/>
              </w:rPr>
            </w:pPr>
            <w:r w:rsidRPr="00F07843">
              <w:rPr>
                <w:sz w:val="24"/>
                <w:szCs w:val="24"/>
              </w:rPr>
              <w:t>N/A</w:t>
            </w:r>
          </w:p>
          <w:p w14:paraId="0DEDEB39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14:paraId="404B6EDA" w14:textId="77777777" w:rsidTr="004966C0">
        <w:tc>
          <w:tcPr>
            <w:tcW w:w="10908" w:type="dxa"/>
          </w:tcPr>
          <w:p w14:paraId="04434623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Instruments/Measures Used:</w:t>
            </w:r>
          </w:p>
          <w:p w14:paraId="23E66C2E" w14:textId="77777777" w:rsidR="003546FB" w:rsidRPr="002747E5" w:rsidRDefault="002747E5" w:rsidP="0052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OVID, Medline, CINAHL Plus, Cochrane Library, PubMed, PsycINFO, Embase</w:t>
            </w:r>
          </w:p>
          <w:p w14:paraId="59D0F4C7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14:paraId="4DE755E5" w14:textId="77777777" w:rsidTr="004966C0">
        <w:tc>
          <w:tcPr>
            <w:tcW w:w="10908" w:type="dxa"/>
          </w:tcPr>
          <w:p w14:paraId="28E88500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Collection:</w:t>
            </w:r>
          </w:p>
          <w:p w14:paraId="34B74055" w14:textId="22920C69" w:rsidR="008C5371" w:rsidRPr="006F0D7D" w:rsidRDefault="002747E5" w:rsidP="00522018">
            <w:pPr>
              <w:rPr>
                <w:sz w:val="24"/>
                <w:szCs w:val="24"/>
              </w:rPr>
            </w:pPr>
            <w:r w:rsidRPr="006F0D7D">
              <w:rPr>
                <w:sz w:val="24"/>
                <w:szCs w:val="24"/>
              </w:rPr>
              <w:t>1119 unique articles identified, 10 included in final systematic review</w:t>
            </w:r>
            <w:r w:rsidR="006F0D7D" w:rsidRPr="006F0D7D">
              <w:rPr>
                <w:sz w:val="24"/>
                <w:szCs w:val="24"/>
              </w:rPr>
              <w:t>, 9</w:t>
            </w:r>
            <w:r w:rsidR="006F0D7D">
              <w:rPr>
                <w:sz w:val="24"/>
                <w:szCs w:val="24"/>
              </w:rPr>
              <w:t>/10</w:t>
            </w:r>
            <w:r w:rsidR="006F0D7D" w:rsidRPr="006F0D7D">
              <w:rPr>
                <w:sz w:val="24"/>
                <w:szCs w:val="24"/>
              </w:rPr>
              <w:t xml:space="preserve"> r</w:t>
            </w:r>
            <w:r w:rsidR="006F0D7D">
              <w:rPr>
                <w:sz w:val="24"/>
                <w:szCs w:val="24"/>
              </w:rPr>
              <w:t>eported management failure rate</w:t>
            </w:r>
            <w:r w:rsidR="005A5AEB">
              <w:rPr>
                <w:sz w:val="24"/>
                <w:szCs w:val="24"/>
              </w:rPr>
              <w:t xml:space="preserve">.  Abstracts were reviewed by two authors, if there was disagreement, the third author would come to consensus. </w:t>
            </w:r>
            <w:r w:rsidR="008C5371">
              <w:rPr>
                <w:sz w:val="24"/>
                <w:szCs w:val="24"/>
              </w:rPr>
              <w:t xml:space="preserve">  Authors identified 6 retrospective cohort studies, 3 prospective cohort studies, and 1 case-control study to include in the review.</w:t>
            </w:r>
          </w:p>
          <w:p w14:paraId="2ECC1E2E" w14:textId="77777777" w:rsidR="008C5371" w:rsidRDefault="008C5371" w:rsidP="00522018">
            <w:pPr>
              <w:rPr>
                <w:sz w:val="24"/>
                <w:szCs w:val="24"/>
              </w:rPr>
            </w:pPr>
          </w:p>
          <w:p w14:paraId="5A7ECF66" w14:textId="7A9257BD" w:rsidR="008C5371" w:rsidRPr="008C5371" w:rsidRDefault="008C5371" w:rsidP="008C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article was assessed and data including: population, management failure percentage, mean age, sex proportion, and risk factors were extracted.</w:t>
            </w:r>
          </w:p>
        </w:tc>
      </w:tr>
      <w:tr w:rsidR="003546FB" w14:paraId="27479381" w14:textId="77777777" w:rsidTr="004966C0">
        <w:tc>
          <w:tcPr>
            <w:tcW w:w="10908" w:type="dxa"/>
          </w:tcPr>
          <w:p w14:paraId="3ED703DD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Analysis:</w:t>
            </w:r>
          </w:p>
          <w:p w14:paraId="59BC0EAC" w14:textId="77777777" w:rsidR="003546FB" w:rsidRDefault="003546FB" w:rsidP="00522018">
            <w:pPr>
              <w:rPr>
                <w:b/>
                <w:i/>
                <w:sz w:val="24"/>
                <w:szCs w:val="24"/>
              </w:rPr>
            </w:pPr>
          </w:p>
          <w:p w14:paraId="1E8BD113" w14:textId="18DE8BED" w:rsidR="003546FB" w:rsidRDefault="003546FB" w:rsidP="00522018">
            <w:pPr>
              <w:rPr>
                <w:sz w:val="24"/>
                <w:szCs w:val="24"/>
              </w:rPr>
            </w:pPr>
            <w:r w:rsidRPr="003546FB">
              <w:rPr>
                <w:b/>
                <w:i/>
                <w:sz w:val="24"/>
                <w:szCs w:val="24"/>
              </w:rPr>
              <w:t>A priori</w:t>
            </w:r>
            <w:r>
              <w:rPr>
                <w:b/>
                <w:sz w:val="24"/>
                <w:szCs w:val="24"/>
              </w:rPr>
              <w:t xml:space="preserve"> sample size calculation?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Not Described  </w:t>
            </w:r>
            <w:r w:rsidR="00F07843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07843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F07843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N/A</w:t>
            </w:r>
          </w:p>
          <w:p w14:paraId="74E091A7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14:paraId="6640A602" w14:textId="4ACEB0FF" w:rsidR="003546FB" w:rsidRPr="008C5371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Statistical analyses u</w:t>
            </w:r>
            <w:r w:rsidRPr="003546FB">
              <w:rPr>
                <w:b/>
                <w:sz w:val="24"/>
                <w:szCs w:val="24"/>
              </w:rPr>
              <w:t>sed:</w:t>
            </w:r>
            <w:r w:rsidR="008C5371" w:rsidRPr="008C5371">
              <w:rPr>
                <w:sz w:val="24"/>
                <w:szCs w:val="24"/>
              </w:rPr>
              <w:t xml:space="preserve"> I</w:t>
            </w:r>
            <w:r w:rsidR="008C5371" w:rsidRPr="008C5371">
              <w:rPr>
                <w:sz w:val="24"/>
                <w:szCs w:val="24"/>
                <w:vertAlign w:val="superscript"/>
              </w:rPr>
              <w:t>2</w:t>
            </w:r>
          </w:p>
          <w:p w14:paraId="592D7BC2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14:paraId="40F1A3EF" w14:textId="624BB478" w:rsidR="003546FB" w:rsidRDefault="003546FB" w:rsidP="003546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Adjustment for potential confounders?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Not Described  </w:t>
            </w:r>
            <w:r w:rsidR="00F07843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07843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F07843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N/A</w:t>
            </w:r>
          </w:p>
          <w:p w14:paraId="112AD53A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If yes, list:</w:t>
            </w:r>
          </w:p>
          <w:p w14:paraId="3342DDE6" w14:textId="77777777"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</w:tbl>
    <w:p w14:paraId="7FF27242" w14:textId="77777777" w:rsidR="00522018" w:rsidRDefault="00522018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3CC" w:rsidRPr="002173CC" w14:paraId="590454FE" w14:textId="77777777" w:rsidTr="004966C0">
        <w:tc>
          <w:tcPr>
            <w:tcW w:w="10908" w:type="dxa"/>
            <w:shd w:val="clear" w:color="auto" w:fill="D9D9D9" w:themeFill="background1" w:themeFillShade="D9"/>
          </w:tcPr>
          <w:p w14:paraId="1316493D" w14:textId="77777777" w:rsidR="002173CC" w:rsidRPr="002173CC" w:rsidRDefault="002173CC" w:rsidP="002173CC">
            <w:pPr>
              <w:jc w:val="center"/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Results</w:t>
            </w:r>
          </w:p>
        </w:tc>
      </w:tr>
      <w:tr w:rsidR="00D67AD5" w14:paraId="7B78C372" w14:textId="77777777" w:rsidTr="004966C0">
        <w:tc>
          <w:tcPr>
            <w:tcW w:w="10908" w:type="dxa"/>
          </w:tcPr>
          <w:p w14:paraId="163D7815" w14:textId="77777777" w:rsidR="00D67AD5" w:rsidRDefault="00D67AD5" w:rsidP="00F6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participants:</w:t>
            </w:r>
          </w:p>
          <w:p w14:paraId="4F346F02" w14:textId="77777777" w:rsidR="00D67AD5" w:rsidRPr="006F0D7D" w:rsidRDefault="006F0D7D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comers admitted to observation unit (planned stay &lt;28 hours) with primary diagnosis of cellulitis or other skin/soft tissue infection</w:t>
            </w:r>
          </w:p>
          <w:p w14:paraId="17F3B523" w14:textId="77777777" w:rsidR="00D67AD5" w:rsidRPr="002173CC" w:rsidRDefault="00D67AD5" w:rsidP="00F6518F">
            <w:pPr>
              <w:rPr>
                <w:b/>
                <w:sz w:val="24"/>
                <w:szCs w:val="24"/>
              </w:rPr>
            </w:pPr>
          </w:p>
        </w:tc>
      </w:tr>
      <w:tr w:rsidR="002173CC" w14:paraId="1452D6B9" w14:textId="77777777" w:rsidTr="004966C0">
        <w:tc>
          <w:tcPr>
            <w:tcW w:w="10908" w:type="dxa"/>
          </w:tcPr>
          <w:p w14:paraId="62EEF468" w14:textId="52C7F353"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 xml:space="preserve">Brief answers to research questions </w:t>
            </w:r>
            <w:r w:rsidRPr="002173CC">
              <w:rPr>
                <w:b/>
                <w:i/>
                <w:sz w:val="24"/>
                <w:szCs w:val="24"/>
              </w:rPr>
              <w:t>[key findings]:</w:t>
            </w:r>
          </w:p>
          <w:p w14:paraId="213449AB" w14:textId="18EE619E" w:rsidR="00D67AD5" w:rsidRPr="00C85217" w:rsidRDefault="00B33117" w:rsidP="00C852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5217">
              <w:rPr>
                <w:sz w:val="24"/>
                <w:szCs w:val="24"/>
              </w:rPr>
              <w:t xml:space="preserve">The management failure rate ranged from 15-38% - reported in 9/10 studies </w:t>
            </w:r>
          </w:p>
          <w:p w14:paraId="5A786302" w14:textId="5DC6F6B2" w:rsidR="002173CC" w:rsidRPr="00C85217" w:rsidRDefault="00B33117" w:rsidP="00C852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5217">
              <w:rPr>
                <w:sz w:val="24"/>
                <w:szCs w:val="24"/>
              </w:rPr>
              <w:t>Fever, high total WBC count, and known MRSA exposure were the most commonly reported variables associated with management failure</w:t>
            </w:r>
          </w:p>
          <w:p w14:paraId="4BE110EB" w14:textId="2B8CFAA5" w:rsidR="00B33117" w:rsidRDefault="00B33117" w:rsidP="00F6518F">
            <w:pPr>
              <w:rPr>
                <w:sz w:val="24"/>
                <w:szCs w:val="24"/>
              </w:rPr>
            </w:pPr>
          </w:p>
        </w:tc>
      </w:tr>
      <w:tr w:rsidR="002173CC" w14:paraId="389BD0E5" w14:textId="77777777" w:rsidTr="004966C0">
        <w:tc>
          <w:tcPr>
            <w:tcW w:w="10908" w:type="dxa"/>
          </w:tcPr>
          <w:p w14:paraId="49043865" w14:textId="77777777"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lastRenderedPageBreak/>
              <w:t>Additional findings:</w:t>
            </w:r>
          </w:p>
          <w:p w14:paraId="41F45594" w14:textId="77777777" w:rsidR="002173CC" w:rsidRDefault="002173CC" w:rsidP="00F6518F">
            <w:pPr>
              <w:rPr>
                <w:sz w:val="24"/>
                <w:szCs w:val="24"/>
              </w:rPr>
            </w:pPr>
          </w:p>
          <w:p w14:paraId="5583F544" w14:textId="77777777" w:rsidR="00D67AD5" w:rsidRDefault="00D67AD5" w:rsidP="00F6518F">
            <w:pPr>
              <w:rPr>
                <w:sz w:val="24"/>
                <w:szCs w:val="24"/>
              </w:rPr>
            </w:pPr>
          </w:p>
          <w:p w14:paraId="42651E20" w14:textId="77777777" w:rsidR="002173CC" w:rsidRDefault="002173CC" w:rsidP="00F6518F">
            <w:pPr>
              <w:rPr>
                <w:sz w:val="24"/>
                <w:szCs w:val="24"/>
              </w:rPr>
            </w:pPr>
          </w:p>
          <w:p w14:paraId="3C418518" w14:textId="77777777" w:rsidR="002173CC" w:rsidRDefault="002173CC" w:rsidP="00F6518F">
            <w:pPr>
              <w:rPr>
                <w:sz w:val="24"/>
                <w:szCs w:val="24"/>
              </w:rPr>
            </w:pPr>
          </w:p>
        </w:tc>
      </w:tr>
      <w:tr w:rsidR="002173CC" w14:paraId="3A7989BD" w14:textId="77777777" w:rsidTr="004966C0">
        <w:tc>
          <w:tcPr>
            <w:tcW w:w="10908" w:type="dxa"/>
          </w:tcPr>
          <w:p w14:paraId="4CA9BF9A" w14:textId="11F578D2"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Limitations:</w:t>
            </w:r>
          </w:p>
          <w:p w14:paraId="67D55EA7" w14:textId="465A6156" w:rsidR="00C85217" w:rsidRDefault="00DD43D4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Demographics – DM, immunocompromised, wounds/ulcers, chronic edema</w:t>
            </w:r>
          </w:p>
          <w:p w14:paraId="61DB8B86" w14:textId="3E847B4E" w:rsidR="00DD43D4" w:rsidRDefault="00DD43D4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heterogeneity precludes meta-analysis</w:t>
            </w:r>
          </w:p>
          <w:p w14:paraId="3F0FAFC1" w14:textId="19C4287F" w:rsidR="00590873" w:rsidRDefault="00590873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differentiation of SSTIs – necrotizing fasciitis, abscess, simple cellulitis</w:t>
            </w:r>
          </w:p>
          <w:p w14:paraId="155250E1" w14:textId="1128C2CB" w:rsidR="00590873" w:rsidRDefault="00590873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distinction between IV and oral antibiotics</w:t>
            </w:r>
          </w:p>
          <w:p w14:paraId="40633F20" w14:textId="31069530" w:rsidR="002173CC" w:rsidRDefault="00590873" w:rsidP="00F6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definition of reason for failure in CDU</w:t>
            </w:r>
          </w:p>
        </w:tc>
      </w:tr>
    </w:tbl>
    <w:p w14:paraId="63A5ECB4" w14:textId="77777777" w:rsidR="002173CC" w:rsidRDefault="002173CC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3CC" w14:paraId="3350315F" w14:textId="77777777" w:rsidTr="004966C0">
        <w:tc>
          <w:tcPr>
            <w:tcW w:w="10908" w:type="dxa"/>
            <w:shd w:val="clear" w:color="auto" w:fill="D9D9D9" w:themeFill="background1" w:themeFillShade="D9"/>
          </w:tcPr>
          <w:p w14:paraId="6F769572" w14:textId="77777777" w:rsidR="002173CC" w:rsidRPr="002173CC" w:rsidRDefault="002173CC" w:rsidP="002173CC">
            <w:pPr>
              <w:jc w:val="center"/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Clinical Implications</w:t>
            </w:r>
          </w:p>
        </w:tc>
      </w:tr>
      <w:tr w:rsidR="002173CC" w14:paraId="3EBA958E" w14:textId="77777777" w:rsidTr="004966C0">
        <w:tc>
          <w:tcPr>
            <w:tcW w:w="10908" w:type="dxa"/>
          </w:tcPr>
          <w:p w14:paraId="2682E633" w14:textId="17BC4CA0"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Applicable?</w:t>
            </w:r>
            <w:r w:rsidR="00B201F7">
              <w:rPr>
                <w:b/>
                <w:sz w:val="24"/>
                <w:szCs w:val="24"/>
              </w:rPr>
              <w:t xml:space="preserve"> </w:t>
            </w:r>
            <w:r w:rsidR="00B201F7" w:rsidRPr="00B201F7">
              <w:rPr>
                <w:sz w:val="24"/>
                <w:szCs w:val="24"/>
              </w:rPr>
              <w:t>Yes</w:t>
            </w:r>
          </w:p>
          <w:p w14:paraId="06C60075" w14:textId="4A81E658"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Feasible?</w:t>
            </w:r>
            <w:r w:rsidR="005A5AEB">
              <w:rPr>
                <w:b/>
                <w:sz w:val="24"/>
                <w:szCs w:val="24"/>
              </w:rPr>
              <w:t xml:space="preserve"> </w:t>
            </w:r>
            <w:r w:rsidR="005A5AEB" w:rsidRPr="005A5AEB">
              <w:rPr>
                <w:sz w:val="24"/>
                <w:szCs w:val="24"/>
              </w:rPr>
              <w:t>Yes</w:t>
            </w:r>
          </w:p>
          <w:p w14:paraId="750C3861" w14:textId="3A317F2D" w:rsidR="002173CC" w:rsidRPr="00B201F7" w:rsidRDefault="002173CC" w:rsidP="00F6518F">
            <w:pPr>
              <w:rPr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Clinically relevant?</w:t>
            </w:r>
            <w:r w:rsidR="00B201F7">
              <w:rPr>
                <w:b/>
                <w:sz w:val="24"/>
                <w:szCs w:val="24"/>
              </w:rPr>
              <w:t xml:space="preserve"> </w:t>
            </w:r>
            <w:r w:rsidR="005A5AEB">
              <w:rPr>
                <w:sz w:val="24"/>
                <w:szCs w:val="24"/>
              </w:rPr>
              <w:t>Yes</w:t>
            </w:r>
          </w:p>
          <w:p w14:paraId="70DBE40F" w14:textId="746E8BBE" w:rsidR="00CD46BB" w:rsidRDefault="005A5AEB" w:rsidP="005A5AEB">
            <w:pPr>
              <w:tabs>
                <w:tab w:val="left" w:pos="7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512F7B3" w14:textId="77777777" w:rsidR="002173CC" w:rsidRDefault="004966C0" w:rsidP="00F651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  <w:r w:rsidR="005A5AEB">
              <w:rPr>
                <w:b/>
                <w:sz w:val="24"/>
                <w:szCs w:val="24"/>
              </w:rPr>
              <w:t xml:space="preserve">  </w:t>
            </w:r>
            <w:r w:rsidR="005A5AEB">
              <w:rPr>
                <w:sz w:val="24"/>
                <w:szCs w:val="24"/>
              </w:rPr>
              <w:t xml:space="preserve">Admission to the CDU for cellulitis is a daily occurrence.  Taking these risk factors in to consideration can help better disposition the patient, whether it be as an inpatient or home. </w:t>
            </w:r>
          </w:p>
          <w:p w14:paraId="43DE3596" w14:textId="683A7121" w:rsidR="005A5AEB" w:rsidRDefault="005A5AEB" w:rsidP="00F6518F">
            <w:pPr>
              <w:rPr>
                <w:sz w:val="24"/>
                <w:szCs w:val="24"/>
              </w:rPr>
            </w:pPr>
          </w:p>
        </w:tc>
      </w:tr>
      <w:tr w:rsidR="004966C0" w14:paraId="34D1CB49" w14:textId="77777777" w:rsidTr="004966C0">
        <w:tc>
          <w:tcPr>
            <w:tcW w:w="10908" w:type="dxa"/>
            <w:shd w:val="clear" w:color="auto" w:fill="D9D9D9" w:themeFill="background1" w:themeFillShade="D9"/>
          </w:tcPr>
          <w:p w14:paraId="17084F2A" w14:textId="77777777" w:rsidR="004966C0" w:rsidRPr="004966C0" w:rsidRDefault="004966C0" w:rsidP="004966C0">
            <w:pPr>
              <w:jc w:val="center"/>
              <w:rPr>
                <w:b/>
                <w:sz w:val="24"/>
                <w:szCs w:val="24"/>
              </w:rPr>
            </w:pPr>
            <w:r w:rsidRPr="004966C0">
              <w:rPr>
                <w:b/>
                <w:sz w:val="24"/>
                <w:szCs w:val="24"/>
              </w:rPr>
              <w:t>Level of evidence generated from this study</w:t>
            </w:r>
          </w:p>
        </w:tc>
      </w:tr>
      <w:tr w:rsidR="004966C0" w14:paraId="000E9BE7" w14:textId="77777777" w:rsidTr="004966C0">
        <w:tc>
          <w:tcPr>
            <w:tcW w:w="10908" w:type="dxa"/>
          </w:tcPr>
          <w:p w14:paraId="6F707EDE" w14:textId="77777777" w:rsidR="004966C0" w:rsidRDefault="004966C0" w:rsidP="004966C0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49BFF233" w14:textId="77777777"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Ia: evidence obtained from meta-analysis of randomized controlled trials</w:t>
            </w:r>
          </w:p>
          <w:p w14:paraId="63BB6990" w14:textId="77777777"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Ib: evidence obtained from at least one randomized controlled trial</w:t>
            </w:r>
          </w:p>
          <w:p w14:paraId="27CDADC1" w14:textId="77777777"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IIa: evidence obtained from at least one well-designed, controlled study without randomization</w:t>
            </w:r>
          </w:p>
          <w:p w14:paraId="188F82EF" w14:textId="2FA23491" w:rsidR="004966C0" w:rsidRDefault="00117D3A" w:rsidP="004966C0">
            <w:pPr>
              <w:rPr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4966C0">
              <w:rPr>
                <w:sz w:val="24"/>
                <w:szCs w:val="24"/>
              </w:rPr>
              <w:t>IIb: evidence obtained from at least one other type of well-designed quasi-experimental study</w:t>
            </w:r>
          </w:p>
          <w:p w14:paraId="549EB8AE" w14:textId="3D46399E" w:rsidR="004966C0" w:rsidRDefault="00117D3A" w:rsidP="004966C0">
            <w:pPr>
              <w:rPr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4966C0">
              <w:rPr>
                <w:sz w:val="24"/>
                <w:szCs w:val="24"/>
              </w:rPr>
              <w:t>III: evidence obtained from a well-designed, non-experimental study</w:t>
            </w:r>
          </w:p>
          <w:p w14:paraId="681FCB58" w14:textId="77777777"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7A2058">
              <w:rPr>
                <w:rFonts w:ascii="Palatino Linotype" w:hAnsi="Palatino Linotype"/>
                <w:sz w:val="24"/>
                <w:szCs w:val="24"/>
              </w:rPr>
            </w:r>
            <w:r w:rsidR="007A2058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IV: expert committee reports; expert opinion; case study; case report</w:t>
            </w:r>
          </w:p>
          <w:p w14:paraId="26C8CA88" w14:textId="77777777" w:rsidR="004966C0" w:rsidRDefault="004966C0" w:rsidP="004966C0">
            <w:pPr>
              <w:rPr>
                <w:sz w:val="24"/>
                <w:szCs w:val="24"/>
              </w:rPr>
            </w:pPr>
          </w:p>
        </w:tc>
      </w:tr>
    </w:tbl>
    <w:p w14:paraId="4B7F8DE3" w14:textId="77777777" w:rsidR="004966C0" w:rsidRDefault="004966C0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66C0" w14:paraId="14DEEFD2" w14:textId="77777777" w:rsidTr="004966C0">
        <w:tc>
          <w:tcPr>
            <w:tcW w:w="11016" w:type="dxa"/>
            <w:shd w:val="clear" w:color="auto" w:fill="D9D9D9" w:themeFill="background1" w:themeFillShade="D9"/>
          </w:tcPr>
          <w:p w14:paraId="7773144E" w14:textId="77777777" w:rsidR="004966C0" w:rsidRPr="004966C0" w:rsidRDefault="004966C0" w:rsidP="00496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Comments/Discussion/Notes</w:t>
            </w:r>
          </w:p>
        </w:tc>
      </w:tr>
      <w:tr w:rsidR="004966C0" w14:paraId="46CF1D68" w14:textId="77777777" w:rsidTr="004966C0">
        <w:tc>
          <w:tcPr>
            <w:tcW w:w="11016" w:type="dxa"/>
          </w:tcPr>
          <w:p w14:paraId="3129563D" w14:textId="55D283A7" w:rsidR="00590873" w:rsidRDefault="00590873" w:rsidP="0059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 (including the most robust study – Lane et al.) are pediatric focused, which do not apply to our observation unit at MMC</w:t>
            </w:r>
          </w:p>
          <w:p w14:paraId="08116F6B" w14:textId="1FEC15DE" w:rsidR="00590873" w:rsidRDefault="00590873" w:rsidP="00590873">
            <w:pPr>
              <w:rPr>
                <w:sz w:val="24"/>
                <w:szCs w:val="24"/>
              </w:rPr>
            </w:pPr>
          </w:p>
          <w:p w14:paraId="690DD675" w14:textId="7C1FB7A6" w:rsidR="005A5AEB" w:rsidRDefault="005A5AEB" w:rsidP="005A5AEB">
            <w:pPr>
              <w:rPr>
                <w:sz w:val="24"/>
                <w:szCs w:val="24"/>
              </w:rPr>
            </w:pPr>
          </w:p>
          <w:p w14:paraId="550E601D" w14:textId="77777777" w:rsidR="004966C0" w:rsidRDefault="004966C0" w:rsidP="00F6518F">
            <w:pPr>
              <w:rPr>
                <w:sz w:val="24"/>
                <w:szCs w:val="24"/>
              </w:rPr>
            </w:pPr>
          </w:p>
          <w:p w14:paraId="51661242" w14:textId="77777777" w:rsidR="00117D3A" w:rsidRDefault="00117D3A" w:rsidP="00F6518F">
            <w:pPr>
              <w:rPr>
                <w:sz w:val="24"/>
                <w:szCs w:val="24"/>
              </w:rPr>
            </w:pPr>
          </w:p>
          <w:p w14:paraId="64961BCA" w14:textId="77777777" w:rsidR="00590873" w:rsidRDefault="00590873" w:rsidP="00F6518F">
            <w:pPr>
              <w:rPr>
                <w:sz w:val="24"/>
                <w:szCs w:val="24"/>
              </w:rPr>
            </w:pPr>
          </w:p>
          <w:p w14:paraId="6DB50DEA" w14:textId="77777777" w:rsidR="00590873" w:rsidRDefault="00590873" w:rsidP="00F6518F">
            <w:pPr>
              <w:rPr>
                <w:sz w:val="24"/>
                <w:szCs w:val="24"/>
              </w:rPr>
            </w:pPr>
          </w:p>
          <w:p w14:paraId="0B513E49" w14:textId="77777777" w:rsidR="004966C0" w:rsidRPr="00D67AD5" w:rsidRDefault="004966C0" w:rsidP="00F6518F">
            <w:pPr>
              <w:rPr>
                <w:sz w:val="16"/>
                <w:szCs w:val="16"/>
              </w:rPr>
            </w:pPr>
          </w:p>
        </w:tc>
      </w:tr>
    </w:tbl>
    <w:p w14:paraId="12A8030A" w14:textId="77777777" w:rsidR="004966C0" w:rsidRPr="00D67AD5" w:rsidRDefault="004966C0" w:rsidP="00D67AD5">
      <w:pPr>
        <w:rPr>
          <w:sz w:val="16"/>
          <w:szCs w:val="16"/>
        </w:rPr>
      </w:pPr>
    </w:p>
    <w:sectPr w:rsidR="004966C0" w:rsidRPr="00D67AD5" w:rsidSect="00496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6E51" w14:textId="77777777" w:rsidR="007A2058" w:rsidRDefault="007A2058" w:rsidP="00CD46BB">
      <w:pPr>
        <w:spacing w:after="0" w:line="240" w:lineRule="auto"/>
      </w:pPr>
      <w:r>
        <w:separator/>
      </w:r>
    </w:p>
  </w:endnote>
  <w:endnote w:type="continuationSeparator" w:id="0">
    <w:p w14:paraId="63C4476F" w14:textId="77777777" w:rsidR="007A2058" w:rsidRDefault="007A2058" w:rsidP="00CD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0FEB" w14:textId="77777777" w:rsidR="00CD46BB" w:rsidRDefault="00CD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655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04D41" w14:textId="77777777" w:rsidR="00CD46BB" w:rsidRDefault="00CD4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8083B7" w14:textId="77777777" w:rsidR="00CD46BB" w:rsidRDefault="00E75810">
    <w:pPr>
      <w:pStyle w:val="Footer"/>
    </w:pPr>
    <w:r>
      <w:t>JC Template 7.12.17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C48C" w14:textId="77777777" w:rsidR="00CD46BB" w:rsidRDefault="00CD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559DB" w14:textId="77777777" w:rsidR="007A2058" w:rsidRDefault="007A2058" w:rsidP="00CD46BB">
      <w:pPr>
        <w:spacing w:after="0" w:line="240" w:lineRule="auto"/>
      </w:pPr>
      <w:r>
        <w:separator/>
      </w:r>
    </w:p>
  </w:footnote>
  <w:footnote w:type="continuationSeparator" w:id="0">
    <w:p w14:paraId="56547F84" w14:textId="77777777" w:rsidR="007A2058" w:rsidRDefault="007A2058" w:rsidP="00CD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F746" w14:textId="77777777" w:rsidR="00CD46BB" w:rsidRDefault="00CD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400E" w14:textId="77777777" w:rsidR="00CD46BB" w:rsidRDefault="00CD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4A8A" w14:textId="77777777" w:rsidR="00CD46BB" w:rsidRDefault="00CD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E7A"/>
    <w:multiLevelType w:val="hybridMultilevel"/>
    <w:tmpl w:val="F1F60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F"/>
    <w:rsid w:val="00001D4E"/>
    <w:rsid w:val="00002DBC"/>
    <w:rsid w:val="000102B6"/>
    <w:rsid w:val="00020E04"/>
    <w:rsid w:val="00024AF9"/>
    <w:rsid w:val="00031338"/>
    <w:rsid w:val="00031CB1"/>
    <w:rsid w:val="00033549"/>
    <w:rsid w:val="00044C79"/>
    <w:rsid w:val="000459EF"/>
    <w:rsid w:val="00055D52"/>
    <w:rsid w:val="000648EB"/>
    <w:rsid w:val="0007369A"/>
    <w:rsid w:val="000741A2"/>
    <w:rsid w:val="000932AE"/>
    <w:rsid w:val="00096AC1"/>
    <w:rsid w:val="00097444"/>
    <w:rsid w:val="000B4356"/>
    <w:rsid w:val="000B4828"/>
    <w:rsid w:val="000B56B2"/>
    <w:rsid w:val="000C245E"/>
    <w:rsid w:val="000D502F"/>
    <w:rsid w:val="000D5CDC"/>
    <w:rsid w:val="000D646E"/>
    <w:rsid w:val="000D6DDE"/>
    <w:rsid w:val="000E2E4F"/>
    <w:rsid w:val="000E3F74"/>
    <w:rsid w:val="000F09D3"/>
    <w:rsid w:val="000F34B6"/>
    <w:rsid w:val="00101637"/>
    <w:rsid w:val="001020E8"/>
    <w:rsid w:val="001026AD"/>
    <w:rsid w:val="00105A4A"/>
    <w:rsid w:val="00117D3A"/>
    <w:rsid w:val="00121D28"/>
    <w:rsid w:val="00134DB5"/>
    <w:rsid w:val="00135B68"/>
    <w:rsid w:val="0014268A"/>
    <w:rsid w:val="00143DAC"/>
    <w:rsid w:val="00144586"/>
    <w:rsid w:val="00147FF9"/>
    <w:rsid w:val="001506F9"/>
    <w:rsid w:val="001516BB"/>
    <w:rsid w:val="00154500"/>
    <w:rsid w:val="0015721D"/>
    <w:rsid w:val="0016093D"/>
    <w:rsid w:val="00160DC6"/>
    <w:rsid w:val="0016231F"/>
    <w:rsid w:val="00171A69"/>
    <w:rsid w:val="00174F8F"/>
    <w:rsid w:val="001835B9"/>
    <w:rsid w:val="00184E7E"/>
    <w:rsid w:val="00186633"/>
    <w:rsid w:val="00190E8C"/>
    <w:rsid w:val="001916E9"/>
    <w:rsid w:val="00197724"/>
    <w:rsid w:val="001A134E"/>
    <w:rsid w:val="001A65CB"/>
    <w:rsid w:val="001C1CE0"/>
    <w:rsid w:val="001C37E8"/>
    <w:rsid w:val="001D240A"/>
    <w:rsid w:val="001D4407"/>
    <w:rsid w:val="001E7786"/>
    <w:rsid w:val="001F0DBB"/>
    <w:rsid w:val="001F58AC"/>
    <w:rsid w:val="001F7C69"/>
    <w:rsid w:val="002006D4"/>
    <w:rsid w:val="00201133"/>
    <w:rsid w:val="00203F8D"/>
    <w:rsid w:val="002107CE"/>
    <w:rsid w:val="00212CC4"/>
    <w:rsid w:val="002142B9"/>
    <w:rsid w:val="002173CC"/>
    <w:rsid w:val="00221978"/>
    <w:rsid w:val="0022708A"/>
    <w:rsid w:val="002277F8"/>
    <w:rsid w:val="00232E2A"/>
    <w:rsid w:val="00240C7A"/>
    <w:rsid w:val="002434F3"/>
    <w:rsid w:val="00243B0A"/>
    <w:rsid w:val="00244443"/>
    <w:rsid w:val="0025184A"/>
    <w:rsid w:val="002559C8"/>
    <w:rsid w:val="00255DBF"/>
    <w:rsid w:val="00256FA2"/>
    <w:rsid w:val="00257237"/>
    <w:rsid w:val="002613BD"/>
    <w:rsid w:val="002623DB"/>
    <w:rsid w:val="00273086"/>
    <w:rsid w:val="00274470"/>
    <w:rsid w:val="002747E5"/>
    <w:rsid w:val="00286DB5"/>
    <w:rsid w:val="00291E95"/>
    <w:rsid w:val="002925B1"/>
    <w:rsid w:val="0029639C"/>
    <w:rsid w:val="002A353F"/>
    <w:rsid w:val="002A7224"/>
    <w:rsid w:val="002B219E"/>
    <w:rsid w:val="002C0649"/>
    <w:rsid w:val="002C1E4F"/>
    <w:rsid w:val="002C4ADD"/>
    <w:rsid w:val="002E1189"/>
    <w:rsid w:val="002F3B60"/>
    <w:rsid w:val="002F502D"/>
    <w:rsid w:val="00303636"/>
    <w:rsid w:val="003037FC"/>
    <w:rsid w:val="003164DC"/>
    <w:rsid w:val="003201F7"/>
    <w:rsid w:val="0032700C"/>
    <w:rsid w:val="00332CC1"/>
    <w:rsid w:val="00333FCD"/>
    <w:rsid w:val="00342BFC"/>
    <w:rsid w:val="003448CA"/>
    <w:rsid w:val="00351EAE"/>
    <w:rsid w:val="00353144"/>
    <w:rsid w:val="003546FB"/>
    <w:rsid w:val="00354D68"/>
    <w:rsid w:val="00355832"/>
    <w:rsid w:val="003560E4"/>
    <w:rsid w:val="00357191"/>
    <w:rsid w:val="0036742B"/>
    <w:rsid w:val="00375638"/>
    <w:rsid w:val="003774F7"/>
    <w:rsid w:val="00381470"/>
    <w:rsid w:val="00384EE0"/>
    <w:rsid w:val="0039596C"/>
    <w:rsid w:val="003A2F43"/>
    <w:rsid w:val="003A4CA0"/>
    <w:rsid w:val="003B170D"/>
    <w:rsid w:val="003B24BF"/>
    <w:rsid w:val="003B5074"/>
    <w:rsid w:val="003C3C69"/>
    <w:rsid w:val="003C4924"/>
    <w:rsid w:val="003D5DCA"/>
    <w:rsid w:val="003E03C4"/>
    <w:rsid w:val="003E252B"/>
    <w:rsid w:val="003E3688"/>
    <w:rsid w:val="003E3C87"/>
    <w:rsid w:val="003E5802"/>
    <w:rsid w:val="003F2E96"/>
    <w:rsid w:val="003F7248"/>
    <w:rsid w:val="004005F5"/>
    <w:rsid w:val="004016BC"/>
    <w:rsid w:val="00402860"/>
    <w:rsid w:val="00402B9E"/>
    <w:rsid w:val="00411F8E"/>
    <w:rsid w:val="00413AB3"/>
    <w:rsid w:val="00433234"/>
    <w:rsid w:val="00436C10"/>
    <w:rsid w:val="00441002"/>
    <w:rsid w:val="004411DB"/>
    <w:rsid w:val="0044136A"/>
    <w:rsid w:val="004445B9"/>
    <w:rsid w:val="00445DDA"/>
    <w:rsid w:val="004513D1"/>
    <w:rsid w:val="00462092"/>
    <w:rsid w:val="00462CE2"/>
    <w:rsid w:val="00462D01"/>
    <w:rsid w:val="0046307D"/>
    <w:rsid w:val="004635F9"/>
    <w:rsid w:val="00463E42"/>
    <w:rsid w:val="00470205"/>
    <w:rsid w:val="00472FE5"/>
    <w:rsid w:val="004767BB"/>
    <w:rsid w:val="00477D27"/>
    <w:rsid w:val="0048223A"/>
    <w:rsid w:val="004872EE"/>
    <w:rsid w:val="00492DE7"/>
    <w:rsid w:val="00494523"/>
    <w:rsid w:val="004966C0"/>
    <w:rsid w:val="00496E57"/>
    <w:rsid w:val="004A37A4"/>
    <w:rsid w:val="004A3B6B"/>
    <w:rsid w:val="004A7305"/>
    <w:rsid w:val="004B010E"/>
    <w:rsid w:val="004B12D1"/>
    <w:rsid w:val="004B1B08"/>
    <w:rsid w:val="004B33E3"/>
    <w:rsid w:val="004B6608"/>
    <w:rsid w:val="004B7C7D"/>
    <w:rsid w:val="004C12E1"/>
    <w:rsid w:val="004C6E9C"/>
    <w:rsid w:val="004E065E"/>
    <w:rsid w:val="004E0B9E"/>
    <w:rsid w:val="004E10E1"/>
    <w:rsid w:val="004E2B83"/>
    <w:rsid w:val="004E5A6F"/>
    <w:rsid w:val="00510AC0"/>
    <w:rsid w:val="0051353F"/>
    <w:rsid w:val="005138A0"/>
    <w:rsid w:val="0051504E"/>
    <w:rsid w:val="00522018"/>
    <w:rsid w:val="00524364"/>
    <w:rsid w:val="0052592A"/>
    <w:rsid w:val="00526B02"/>
    <w:rsid w:val="005321A8"/>
    <w:rsid w:val="005339D9"/>
    <w:rsid w:val="00535D75"/>
    <w:rsid w:val="0054489E"/>
    <w:rsid w:val="005448CC"/>
    <w:rsid w:val="00547333"/>
    <w:rsid w:val="0055675C"/>
    <w:rsid w:val="00557852"/>
    <w:rsid w:val="00563EF4"/>
    <w:rsid w:val="0056406A"/>
    <w:rsid w:val="0057142F"/>
    <w:rsid w:val="00571BAA"/>
    <w:rsid w:val="00585E99"/>
    <w:rsid w:val="00587868"/>
    <w:rsid w:val="00590048"/>
    <w:rsid w:val="00590873"/>
    <w:rsid w:val="00591090"/>
    <w:rsid w:val="00592E2B"/>
    <w:rsid w:val="00594E2D"/>
    <w:rsid w:val="00596D13"/>
    <w:rsid w:val="005A5AEB"/>
    <w:rsid w:val="005A7D59"/>
    <w:rsid w:val="005B2336"/>
    <w:rsid w:val="005C6393"/>
    <w:rsid w:val="005C7871"/>
    <w:rsid w:val="005D3053"/>
    <w:rsid w:val="005E2C22"/>
    <w:rsid w:val="005F1FF8"/>
    <w:rsid w:val="005F224E"/>
    <w:rsid w:val="005F47BB"/>
    <w:rsid w:val="005F50E0"/>
    <w:rsid w:val="005F6554"/>
    <w:rsid w:val="005F6697"/>
    <w:rsid w:val="0060022E"/>
    <w:rsid w:val="00607DBF"/>
    <w:rsid w:val="0061005A"/>
    <w:rsid w:val="00610604"/>
    <w:rsid w:val="00611580"/>
    <w:rsid w:val="00613FA4"/>
    <w:rsid w:val="00617A42"/>
    <w:rsid w:val="00625017"/>
    <w:rsid w:val="0063631C"/>
    <w:rsid w:val="00637E14"/>
    <w:rsid w:val="0064397D"/>
    <w:rsid w:val="0064515A"/>
    <w:rsid w:val="006631DA"/>
    <w:rsid w:val="00663488"/>
    <w:rsid w:val="00663ADC"/>
    <w:rsid w:val="0067176F"/>
    <w:rsid w:val="00674D06"/>
    <w:rsid w:val="00684C5F"/>
    <w:rsid w:val="00690279"/>
    <w:rsid w:val="00691D36"/>
    <w:rsid w:val="00692B46"/>
    <w:rsid w:val="00693978"/>
    <w:rsid w:val="006947FD"/>
    <w:rsid w:val="0069799F"/>
    <w:rsid w:val="006A10F0"/>
    <w:rsid w:val="006A1ABC"/>
    <w:rsid w:val="006A2857"/>
    <w:rsid w:val="006A7762"/>
    <w:rsid w:val="006A7FCF"/>
    <w:rsid w:val="006B2C04"/>
    <w:rsid w:val="006B7FAB"/>
    <w:rsid w:val="006C20D8"/>
    <w:rsid w:val="006C292C"/>
    <w:rsid w:val="006C2C0A"/>
    <w:rsid w:val="006C4E23"/>
    <w:rsid w:val="006C7755"/>
    <w:rsid w:val="006D4464"/>
    <w:rsid w:val="006D776A"/>
    <w:rsid w:val="006E16F3"/>
    <w:rsid w:val="006E4B25"/>
    <w:rsid w:val="006E5F77"/>
    <w:rsid w:val="006F0D7D"/>
    <w:rsid w:val="006F3040"/>
    <w:rsid w:val="006F3499"/>
    <w:rsid w:val="006F7842"/>
    <w:rsid w:val="00707778"/>
    <w:rsid w:val="00707851"/>
    <w:rsid w:val="00712922"/>
    <w:rsid w:val="00722663"/>
    <w:rsid w:val="00724D85"/>
    <w:rsid w:val="00737803"/>
    <w:rsid w:val="00737C9A"/>
    <w:rsid w:val="00741D7D"/>
    <w:rsid w:val="00745E0D"/>
    <w:rsid w:val="00747D06"/>
    <w:rsid w:val="007551C8"/>
    <w:rsid w:val="00756A02"/>
    <w:rsid w:val="00765A5E"/>
    <w:rsid w:val="0076663C"/>
    <w:rsid w:val="007708CD"/>
    <w:rsid w:val="00781934"/>
    <w:rsid w:val="00782897"/>
    <w:rsid w:val="00783207"/>
    <w:rsid w:val="00785913"/>
    <w:rsid w:val="0078632A"/>
    <w:rsid w:val="007930C5"/>
    <w:rsid w:val="007932A0"/>
    <w:rsid w:val="00797274"/>
    <w:rsid w:val="007A2058"/>
    <w:rsid w:val="007A591E"/>
    <w:rsid w:val="007A6778"/>
    <w:rsid w:val="007B32A6"/>
    <w:rsid w:val="007C1652"/>
    <w:rsid w:val="007C5689"/>
    <w:rsid w:val="007D002B"/>
    <w:rsid w:val="007D1249"/>
    <w:rsid w:val="007D32EE"/>
    <w:rsid w:val="007D40A1"/>
    <w:rsid w:val="007E6D1F"/>
    <w:rsid w:val="007F1EA0"/>
    <w:rsid w:val="008052B2"/>
    <w:rsid w:val="0080762F"/>
    <w:rsid w:val="008107F1"/>
    <w:rsid w:val="00810FEC"/>
    <w:rsid w:val="00812209"/>
    <w:rsid w:val="0081256A"/>
    <w:rsid w:val="00823658"/>
    <w:rsid w:val="00825E00"/>
    <w:rsid w:val="00832C79"/>
    <w:rsid w:val="008375B2"/>
    <w:rsid w:val="00841359"/>
    <w:rsid w:val="00852701"/>
    <w:rsid w:val="0085485D"/>
    <w:rsid w:val="00855D3D"/>
    <w:rsid w:val="00863711"/>
    <w:rsid w:val="00866499"/>
    <w:rsid w:val="00867580"/>
    <w:rsid w:val="0087266F"/>
    <w:rsid w:val="008728A3"/>
    <w:rsid w:val="00891608"/>
    <w:rsid w:val="00894C60"/>
    <w:rsid w:val="008953E3"/>
    <w:rsid w:val="008A1C1A"/>
    <w:rsid w:val="008A6F1E"/>
    <w:rsid w:val="008B08DA"/>
    <w:rsid w:val="008B1E42"/>
    <w:rsid w:val="008B3AF1"/>
    <w:rsid w:val="008C0A26"/>
    <w:rsid w:val="008C5371"/>
    <w:rsid w:val="008C735D"/>
    <w:rsid w:val="008D2406"/>
    <w:rsid w:val="008D3968"/>
    <w:rsid w:val="008E696B"/>
    <w:rsid w:val="008E7E6A"/>
    <w:rsid w:val="008F5493"/>
    <w:rsid w:val="0090252A"/>
    <w:rsid w:val="0090731E"/>
    <w:rsid w:val="00920978"/>
    <w:rsid w:val="0092632D"/>
    <w:rsid w:val="00931292"/>
    <w:rsid w:val="00931ED0"/>
    <w:rsid w:val="00934214"/>
    <w:rsid w:val="009377D2"/>
    <w:rsid w:val="00944BA5"/>
    <w:rsid w:val="00950064"/>
    <w:rsid w:val="009541FD"/>
    <w:rsid w:val="00954DA2"/>
    <w:rsid w:val="00961ED6"/>
    <w:rsid w:val="00963C40"/>
    <w:rsid w:val="00964203"/>
    <w:rsid w:val="00966644"/>
    <w:rsid w:val="0097188F"/>
    <w:rsid w:val="0098211D"/>
    <w:rsid w:val="00986DBF"/>
    <w:rsid w:val="00987164"/>
    <w:rsid w:val="00987845"/>
    <w:rsid w:val="009A48E0"/>
    <w:rsid w:val="009B5E19"/>
    <w:rsid w:val="009B6C75"/>
    <w:rsid w:val="009B751A"/>
    <w:rsid w:val="009C0BD9"/>
    <w:rsid w:val="009C6604"/>
    <w:rsid w:val="009D0DEE"/>
    <w:rsid w:val="009D745C"/>
    <w:rsid w:val="009E30F3"/>
    <w:rsid w:val="009E3120"/>
    <w:rsid w:val="009F3382"/>
    <w:rsid w:val="009F3E7B"/>
    <w:rsid w:val="00A04336"/>
    <w:rsid w:val="00A12C78"/>
    <w:rsid w:val="00A16884"/>
    <w:rsid w:val="00A31A49"/>
    <w:rsid w:val="00A35389"/>
    <w:rsid w:val="00A50C7D"/>
    <w:rsid w:val="00A56256"/>
    <w:rsid w:val="00A6464B"/>
    <w:rsid w:val="00A65F9F"/>
    <w:rsid w:val="00A67947"/>
    <w:rsid w:val="00A706DF"/>
    <w:rsid w:val="00A71EF4"/>
    <w:rsid w:val="00A72214"/>
    <w:rsid w:val="00A72F3E"/>
    <w:rsid w:val="00A7598E"/>
    <w:rsid w:val="00A7726E"/>
    <w:rsid w:val="00A87114"/>
    <w:rsid w:val="00AA196B"/>
    <w:rsid w:val="00AA312E"/>
    <w:rsid w:val="00AA6FC3"/>
    <w:rsid w:val="00AB2FD1"/>
    <w:rsid w:val="00AC0F21"/>
    <w:rsid w:val="00AC6C7B"/>
    <w:rsid w:val="00AC6F36"/>
    <w:rsid w:val="00AD38B4"/>
    <w:rsid w:val="00AF3AAB"/>
    <w:rsid w:val="00AF4383"/>
    <w:rsid w:val="00AF6466"/>
    <w:rsid w:val="00B032AB"/>
    <w:rsid w:val="00B0644C"/>
    <w:rsid w:val="00B201F7"/>
    <w:rsid w:val="00B25FC3"/>
    <w:rsid w:val="00B27D9B"/>
    <w:rsid w:val="00B27DC7"/>
    <w:rsid w:val="00B33117"/>
    <w:rsid w:val="00B34FA8"/>
    <w:rsid w:val="00B41C86"/>
    <w:rsid w:val="00B42C5A"/>
    <w:rsid w:val="00B46850"/>
    <w:rsid w:val="00B471BD"/>
    <w:rsid w:val="00B56D99"/>
    <w:rsid w:val="00B57B71"/>
    <w:rsid w:val="00B60599"/>
    <w:rsid w:val="00B627DD"/>
    <w:rsid w:val="00B6291C"/>
    <w:rsid w:val="00B63F62"/>
    <w:rsid w:val="00B66ECB"/>
    <w:rsid w:val="00B72C6E"/>
    <w:rsid w:val="00B82732"/>
    <w:rsid w:val="00B85DAB"/>
    <w:rsid w:val="00B869A7"/>
    <w:rsid w:val="00BA2A6F"/>
    <w:rsid w:val="00BA399C"/>
    <w:rsid w:val="00BB179A"/>
    <w:rsid w:val="00BC154F"/>
    <w:rsid w:val="00BD1325"/>
    <w:rsid w:val="00BD4CE4"/>
    <w:rsid w:val="00BE057E"/>
    <w:rsid w:val="00BE6DEB"/>
    <w:rsid w:val="00BF6723"/>
    <w:rsid w:val="00C00546"/>
    <w:rsid w:val="00C11BF9"/>
    <w:rsid w:val="00C25F67"/>
    <w:rsid w:val="00C27EBC"/>
    <w:rsid w:val="00C3042F"/>
    <w:rsid w:val="00C347AA"/>
    <w:rsid w:val="00C42539"/>
    <w:rsid w:val="00C46BA4"/>
    <w:rsid w:val="00C512AE"/>
    <w:rsid w:val="00C535DF"/>
    <w:rsid w:val="00C6033A"/>
    <w:rsid w:val="00C619DA"/>
    <w:rsid w:val="00C769A5"/>
    <w:rsid w:val="00C8040C"/>
    <w:rsid w:val="00C812C7"/>
    <w:rsid w:val="00C85217"/>
    <w:rsid w:val="00C85CF6"/>
    <w:rsid w:val="00C908B5"/>
    <w:rsid w:val="00C95D0F"/>
    <w:rsid w:val="00CA2D44"/>
    <w:rsid w:val="00CC4A43"/>
    <w:rsid w:val="00CD24B6"/>
    <w:rsid w:val="00CD30F8"/>
    <w:rsid w:val="00CD46BB"/>
    <w:rsid w:val="00CD7714"/>
    <w:rsid w:val="00CE2EF1"/>
    <w:rsid w:val="00CE424C"/>
    <w:rsid w:val="00CF0130"/>
    <w:rsid w:val="00CF3833"/>
    <w:rsid w:val="00D06D1E"/>
    <w:rsid w:val="00D07993"/>
    <w:rsid w:val="00D157F9"/>
    <w:rsid w:val="00D175D6"/>
    <w:rsid w:val="00D20A31"/>
    <w:rsid w:val="00D240B1"/>
    <w:rsid w:val="00D31882"/>
    <w:rsid w:val="00D328DD"/>
    <w:rsid w:val="00D354F4"/>
    <w:rsid w:val="00D42124"/>
    <w:rsid w:val="00D42CD5"/>
    <w:rsid w:val="00D53C0A"/>
    <w:rsid w:val="00D55BD6"/>
    <w:rsid w:val="00D55D21"/>
    <w:rsid w:val="00D567F6"/>
    <w:rsid w:val="00D57BC3"/>
    <w:rsid w:val="00D61C52"/>
    <w:rsid w:val="00D6773F"/>
    <w:rsid w:val="00D67AD5"/>
    <w:rsid w:val="00D71BFB"/>
    <w:rsid w:val="00D85BE1"/>
    <w:rsid w:val="00D8606B"/>
    <w:rsid w:val="00D87D9F"/>
    <w:rsid w:val="00D92FBB"/>
    <w:rsid w:val="00D95270"/>
    <w:rsid w:val="00DA0CA8"/>
    <w:rsid w:val="00DA2242"/>
    <w:rsid w:val="00DA3F04"/>
    <w:rsid w:val="00DA7D7E"/>
    <w:rsid w:val="00DB3452"/>
    <w:rsid w:val="00DB3957"/>
    <w:rsid w:val="00DB4CCA"/>
    <w:rsid w:val="00DB5C68"/>
    <w:rsid w:val="00DC58C5"/>
    <w:rsid w:val="00DD43D4"/>
    <w:rsid w:val="00DD6D79"/>
    <w:rsid w:val="00DE2167"/>
    <w:rsid w:val="00DE750F"/>
    <w:rsid w:val="00DF1006"/>
    <w:rsid w:val="00DF19AB"/>
    <w:rsid w:val="00DF2591"/>
    <w:rsid w:val="00E012A9"/>
    <w:rsid w:val="00E05B8D"/>
    <w:rsid w:val="00E06837"/>
    <w:rsid w:val="00E10AB5"/>
    <w:rsid w:val="00E11376"/>
    <w:rsid w:val="00E15F9F"/>
    <w:rsid w:val="00E30527"/>
    <w:rsid w:val="00E33277"/>
    <w:rsid w:val="00E33BAF"/>
    <w:rsid w:val="00E34689"/>
    <w:rsid w:val="00E35CEE"/>
    <w:rsid w:val="00E36694"/>
    <w:rsid w:val="00E4198A"/>
    <w:rsid w:val="00E4239D"/>
    <w:rsid w:val="00E46D57"/>
    <w:rsid w:val="00E471CD"/>
    <w:rsid w:val="00E56368"/>
    <w:rsid w:val="00E6704E"/>
    <w:rsid w:val="00E7077A"/>
    <w:rsid w:val="00E75810"/>
    <w:rsid w:val="00E763DB"/>
    <w:rsid w:val="00E77F91"/>
    <w:rsid w:val="00E83900"/>
    <w:rsid w:val="00E85D7D"/>
    <w:rsid w:val="00E92870"/>
    <w:rsid w:val="00EA2EA3"/>
    <w:rsid w:val="00EA3A78"/>
    <w:rsid w:val="00EB1DA7"/>
    <w:rsid w:val="00EB50E0"/>
    <w:rsid w:val="00EC2795"/>
    <w:rsid w:val="00ED212E"/>
    <w:rsid w:val="00ED51F5"/>
    <w:rsid w:val="00EE3B93"/>
    <w:rsid w:val="00EE7BE2"/>
    <w:rsid w:val="00EF0427"/>
    <w:rsid w:val="00EF553F"/>
    <w:rsid w:val="00F01529"/>
    <w:rsid w:val="00F05D9C"/>
    <w:rsid w:val="00F07843"/>
    <w:rsid w:val="00F14A4D"/>
    <w:rsid w:val="00F16587"/>
    <w:rsid w:val="00F21932"/>
    <w:rsid w:val="00F33CC0"/>
    <w:rsid w:val="00F35B85"/>
    <w:rsid w:val="00F42B1B"/>
    <w:rsid w:val="00F44C0F"/>
    <w:rsid w:val="00F472E4"/>
    <w:rsid w:val="00F51CCC"/>
    <w:rsid w:val="00F52AA4"/>
    <w:rsid w:val="00F52D02"/>
    <w:rsid w:val="00F61659"/>
    <w:rsid w:val="00F637CD"/>
    <w:rsid w:val="00F6518F"/>
    <w:rsid w:val="00F6655D"/>
    <w:rsid w:val="00F71314"/>
    <w:rsid w:val="00F7389D"/>
    <w:rsid w:val="00F7500F"/>
    <w:rsid w:val="00F8403C"/>
    <w:rsid w:val="00F90EB5"/>
    <w:rsid w:val="00FB2097"/>
    <w:rsid w:val="00FB4F2A"/>
    <w:rsid w:val="00FC2273"/>
    <w:rsid w:val="00FC535A"/>
    <w:rsid w:val="00FC712F"/>
    <w:rsid w:val="00FD0A0E"/>
    <w:rsid w:val="00FD7F5E"/>
    <w:rsid w:val="00FE1DA7"/>
    <w:rsid w:val="00FE208B"/>
    <w:rsid w:val="00FE2BA8"/>
    <w:rsid w:val="00FE2E8A"/>
    <w:rsid w:val="00FE3BAC"/>
    <w:rsid w:val="00FF0649"/>
    <w:rsid w:val="00FF28F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26BA"/>
  <w15:docId w15:val="{53DD13F7-487E-42C1-B5DC-F638E37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BB"/>
  </w:style>
  <w:style w:type="paragraph" w:styleId="Footer">
    <w:name w:val="footer"/>
    <w:basedOn w:val="Normal"/>
    <w:link w:val="FooterChar"/>
    <w:uiPriority w:val="99"/>
    <w:unhideWhenUsed/>
    <w:rsid w:val="00CD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BB"/>
  </w:style>
  <w:style w:type="paragraph" w:styleId="ListParagraph">
    <w:name w:val="List Paragraph"/>
    <w:basedOn w:val="Normal"/>
    <w:uiPriority w:val="34"/>
    <w:qFormat/>
    <w:rsid w:val="00C8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D. Strout</dc:creator>
  <cp:lastModifiedBy>jeff holmes</cp:lastModifiedBy>
  <cp:revision>2</cp:revision>
  <cp:lastPrinted>2017-07-12T15:02:00Z</cp:lastPrinted>
  <dcterms:created xsi:type="dcterms:W3CDTF">2017-08-28T13:23:00Z</dcterms:created>
  <dcterms:modified xsi:type="dcterms:W3CDTF">2017-08-28T13:23:00Z</dcterms:modified>
</cp:coreProperties>
</file>