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E808" w14:textId="77777777" w:rsidR="00E35CEE" w:rsidRPr="00E35A4D" w:rsidRDefault="00F6518F" w:rsidP="00F6518F">
      <w:pPr>
        <w:spacing w:after="0" w:line="240" w:lineRule="auto"/>
        <w:jc w:val="center"/>
        <w:rPr>
          <w:b/>
          <w:sz w:val="24"/>
          <w:szCs w:val="24"/>
        </w:rPr>
      </w:pPr>
      <w:bookmarkStart w:id="0" w:name="_GoBack"/>
      <w:bookmarkEnd w:id="0"/>
      <w:r w:rsidRPr="00E35A4D">
        <w:rPr>
          <w:b/>
          <w:sz w:val="24"/>
          <w:szCs w:val="24"/>
        </w:rPr>
        <w:t>Maine Medical Center</w:t>
      </w:r>
    </w:p>
    <w:p w14:paraId="6A953499" w14:textId="77777777" w:rsidR="00F6518F" w:rsidRPr="00E35A4D" w:rsidRDefault="00F6518F" w:rsidP="00F6518F">
      <w:pPr>
        <w:spacing w:after="0" w:line="240" w:lineRule="auto"/>
        <w:jc w:val="center"/>
        <w:rPr>
          <w:b/>
          <w:sz w:val="24"/>
          <w:szCs w:val="24"/>
        </w:rPr>
      </w:pPr>
      <w:r w:rsidRPr="00E35A4D">
        <w:rPr>
          <w:b/>
          <w:sz w:val="24"/>
          <w:szCs w:val="24"/>
        </w:rPr>
        <w:t>Department of Emergency Medicine</w:t>
      </w:r>
    </w:p>
    <w:p w14:paraId="790FCC89" w14:textId="77777777" w:rsidR="00F6518F" w:rsidRPr="00E35A4D" w:rsidRDefault="00F6518F" w:rsidP="00F6518F">
      <w:pPr>
        <w:spacing w:after="0" w:line="240" w:lineRule="auto"/>
        <w:jc w:val="center"/>
        <w:rPr>
          <w:b/>
          <w:sz w:val="24"/>
          <w:szCs w:val="24"/>
        </w:rPr>
      </w:pPr>
      <w:r w:rsidRPr="00E35A4D">
        <w:rPr>
          <w:b/>
          <w:sz w:val="24"/>
          <w:szCs w:val="24"/>
        </w:rPr>
        <w:t>Journal Club Summary Template</w:t>
      </w:r>
    </w:p>
    <w:p w14:paraId="6E26A6BE" w14:textId="77777777" w:rsidR="00F6518F" w:rsidRPr="00E35A4D" w:rsidRDefault="00F6518F" w:rsidP="00F6518F">
      <w:pPr>
        <w:spacing w:after="0" w:line="240" w:lineRule="auto"/>
        <w:jc w:val="center"/>
        <w:rPr>
          <w:b/>
          <w:sz w:val="24"/>
          <w:szCs w:val="24"/>
        </w:rPr>
      </w:pPr>
    </w:p>
    <w:tbl>
      <w:tblPr>
        <w:tblStyle w:val="TableGrid"/>
        <w:tblW w:w="0" w:type="auto"/>
        <w:tblLook w:val="04A0" w:firstRow="1" w:lastRow="0" w:firstColumn="1" w:lastColumn="0" w:noHBand="0" w:noVBand="1"/>
      </w:tblPr>
      <w:tblGrid>
        <w:gridCol w:w="2268"/>
        <w:gridCol w:w="8640"/>
      </w:tblGrid>
      <w:tr w:rsidR="00F6518F" w:rsidRPr="00E35A4D" w14:paraId="794E6ED5" w14:textId="77777777" w:rsidTr="00BD5704">
        <w:trPr>
          <w:trHeight w:val="260"/>
        </w:trPr>
        <w:tc>
          <w:tcPr>
            <w:tcW w:w="2268" w:type="dxa"/>
          </w:tcPr>
          <w:p w14:paraId="5BD7B458" w14:textId="77777777" w:rsidR="00F6518F" w:rsidRPr="00E35A4D" w:rsidRDefault="00F6518F" w:rsidP="00F6518F">
            <w:pPr>
              <w:rPr>
                <w:b/>
                <w:sz w:val="24"/>
                <w:szCs w:val="24"/>
              </w:rPr>
            </w:pPr>
            <w:r w:rsidRPr="00E35A4D">
              <w:rPr>
                <w:b/>
                <w:sz w:val="24"/>
                <w:szCs w:val="24"/>
              </w:rPr>
              <w:t>Date:</w:t>
            </w:r>
            <w:r w:rsidR="00BD5704" w:rsidRPr="00E35A4D">
              <w:rPr>
                <w:b/>
                <w:sz w:val="24"/>
                <w:szCs w:val="24"/>
              </w:rPr>
              <w:t xml:space="preserve"> 8/17/17</w:t>
            </w:r>
          </w:p>
        </w:tc>
        <w:tc>
          <w:tcPr>
            <w:tcW w:w="8640" w:type="dxa"/>
          </w:tcPr>
          <w:p w14:paraId="7D2E6E67" w14:textId="77777777" w:rsidR="00F6518F" w:rsidRPr="00E35A4D" w:rsidRDefault="00F6518F" w:rsidP="00F6518F">
            <w:pPr>
              <w:rPr>
                <w:b/>
                <w:sz w:val="24"/>
                <w:szCs w:val="24"/>
              </w:rPr>
            </w:pPr>
            <w:r w:rsidRPr="00E35A4D">
              <w:rPr>
                <w:b/>
                <w:sz w:val="24"/>
                <w:szCs w:val="24"/>
              </w:rPr>
              <w:t>Presenter Name:</w:t>
            </w:r>
            <w:r w:rsidR="00BD5704" w:rsidRPr="00E35A4D">
              <w:rPr>
                <w:b/>
                <w:sz w:val="24"/>
                <w:szCs w:val="24"/>
              </w:rPr>
              <w:t xml:space="preserve"> </w:t>
            </w:r>
            <w:r w:rsidR="00BD5704" w:rsidRPr="00E35A4D">
              <w:rPr>
                <w:sz w:val="24"/>
                <w:szCs w:val="24"/>
              </w:rPr>
              <w:t>Andrew Fried</w:t>
            </w:r>
          </w:p>
        </w:tc>
      </w:tr>
    </w:tbl>
    <w:p w14:paraId="50FEE6AD" w14:textId="77777777" w:rsidR="00F6518F" w:rsidRPr="00E35A4D" w:rsidRDefault="00F6518F" w:rsidP="00F6518F">
      <w:pPr>
        <w:spacing w:after="0" w:line="240" w:lineRule="auto"/>
        <w:jc w:val="center"/>
        <w:rPr>
          <w:sz w:val="24"/>
          <w:szCs w:val="24"/>
        </w:rPr>
      </w:pPr>
    </w:p>
    <w:tbl>
      <w:tblPr>
        <w:tblStyle w:val="TableGrid"/>
        <w:tblW w:w="0" w:type="auto"/>
        <w:tblLook w:val="04A0" w:firstRow="1" w:lastRow="0" w:firstColumn="1" w:lastColumn="0" w:noHBand="0" w:noVBand="1"/>
      </w:tblPr>
      <w:tblGrid>
        <w:gridCol w:w="10908"/>
      </w:tblGrid>
      <w:tr w:rsidR="00F6518F" w:rsidRPr="00E35A4D" w14:paraId="710CD4F3" w14:textId="77777777" w:rsidTr="004966C0">
        <w:tc>
          <w:tcPr>
            <w:tcW w:w="10908" w:type="dxa"/>
          </w:tcPr>
          <w:p w14:paraId="5DE45A14" w14:textId="77777777" w:rsidR="00F6518F" w:rsidRPr="00E35A4D" w:rsidRDefault="00F6518F" w:rsidP="00F6518F">
            <w:pPr>
              <w:rPr>
                <w:b/>
                <w:sz w:val="24"/>
                <w:szCs w:val="24"/>
              </w:rPr>
            </w:pPr>
            <w:r w:rsidRPr="00E35A4D">
              <w:rPr>
                <w:b/>
                <w:sz w:val="24"/>
                <w:szCs w:val="24"/>
              </w:rPr>
              <w:t xml:space="preserve">Article Citation: </w:t>
            </w:r>
          </w:p>
          <w:p w14:paraId="1C60AC4D" w14:textId="77777777" w:rsidR="00C85D24" w:rsidRPr="00E35A4D" w:rsidRDefault="00C85D24" w:rsidP="00F6518F">
            <w:pPr>
              <w:rPr>
                <w:rFonts w:cs="Arial"/>
                <w:sz w:val="24"/>
                <w:szCs w:val="24"/>
                <w:u w:color="262626"/>
              </w:rPr>
            </w:pPr>
            <w:r w:rsidRPr="00E35A4D">
              <w:rPr>
                <w:rFonts w:cs="Arial"/>
                <w:color w:val="262626"/>
                <w:sz w:val="24"/>
                <w:szCs w:val="24"/>
                <w:u w:val="single" w:color="262626"/>
              </w:rPr>
              <w:t>J Antimicrob Chemother.</w:t>
            </w:r>
            <w:r w:rsidRPr="00E35A4D">
              <w:rPr>
                <w:rFonts w:cs="Arial"/>
                <w:sz w:val="24"/>
                <w:szCs w:val="24"/>
                <w:u w:color="262626"/>
              </w:rPr>
              <w:t xml:space="preserve"> 2015 Feb;70(2):581-6</w:t>
            </w:r>
          </w:p>
          <w:p w14:paraId="43BEC330" w14:textId="77777777" w:rsidR="00F6518F" w:rsidRPr="00E35A4D" w:rsidRDefault="00C85D24" w:rsidP="00F6518F">
            <w:pPr>
              <w:rPr>
                <w:sz w:val="24"/>
                <w:szCs w:val="24"/>
              </w:rPr>
            </w:pPr>
            <w:r w:rsidRPr="00E35A4D">
              <w:rPr>
                <w:rFonts w:cs="Arial"/>
                <w:sz w:val="24"/>
                <w:szCs w:val="24"/>
                <w:u w:color="262626"/>
              </w:rPr>
              <w:t>doi: 10.1093/jac/dku397 Advance Access publication 21 October 2014</w:t>
            </w:r>
          </w:p>
          <w:p w14:paraId="3BAE1E82" w14:textId="77777777" w:rsidR="00F6518F" w:rsidRPr="00E35A4D" w:rsidRDefault="00F6518F" w:rsidP="00F6518F">
            <w:pPr>
              <w:rPr>
                <w:sz w:val="24"/>
                <w:szCs w:val="24"/>
              </w:rPr>
            </w:pPr>
          </w:p>
          <w:p w14:paraId="683C3694" w14:textId="7C4F0210" w:rsidR="00A91644" w:rsidRPr="00E35A4D" w:rsidRDefault="00A91644" w:rsidP="00F6518F">
            <w:pPr>
              <w:rPr>
                <w:sz w:val="24"/>
                <w:szCs w:val="24"/>
              </w:rPr>
            </w:pPr>
            <w:r w:rsidRPr="00E35A4D">
              <w:rPr>
                <w:sz w:val="24"/>
                <w:szCs w:val="24"/>
              </w:rPr>
              <w:t>“Oral ver</w:t>
            </w:r>
            <w:r w:rsidR="00F3784E" w:rsidRPr="00E35A4D">
              <w:rPr>
                <w:sz w:val="24"/>
                <w:szCs w:val="24"/>
              </w:rPr>
              <w:t>sus parenteral antimicrobials of</w:t>
            </w:r>
            <w:r w:rsidRPr="00E35A4D">
              <w:rPr>
                <w:sz w:val="24"/>
                <w:szCs w:val="24"/>
              </w:rPr>
              <w:t xml:space="preserve"> the treatment of cellulitis: a randomized non-inferiority trial”</w:t>
            </w:r>
          </w:p>
          <w:p w14:paraId="0852F1A4" w14:textId="6906A813" w:rsidR="00A91644" w:rsidRPr="00E35A4D" w:rsidRDefault="00A91644" w:rsidP="00F6518F">
            <w:pPr>
              <w:rPr>
                <w:sz w:val="24"/>
                <w:szCs w:val="24"/>
              </w:rPr>
            </w:pPr>
            <w:r w:rsidRPr="00E35A4D">
              <w:rPr>
                <w:sz w:val="24"/>
                <w:szCs w:val="24"/>
              </w:rPr>
              <w:t>Aboltins et al.</w:t>
            </w:r>
          </w:p>
        </w:tc>
      </w:tr>
      <w:tr w:rsidR="00F6518F" w:rsidRPr="00E35A4D" w14:paraId="283BD20D" w14:textId="77777777" w:rsidTr="004966C0">
        <w:tc>
          <w:tcPr>
            <w:tcW w:w="10908" w:type="dxa"/>
          </w:tcPr>
          <w:p w14:paraId="14526D35" w14:textId="77777777" w:rsidR="00F6518F" w:rsidRPr="00E35A4D" w:rsidRDefault="00F6518F" w:rsidP="00F6518F">
            <w:pPr>
              <w:rPr>
                <w:b/>
                <w:sz w:val="24"/>
                <w:szCs w:val="24"/>
              </w:rPr>
            </w:pPr>
            <w:r w:rsidRPr="00E35A4D">
              <w:rPr>
                <w:b/>
                <w:sz w:val="24"/>
                <w:szCs w:val="24"/>
              </w:rPr>
              <w:t>Country(ies):</w:t>
            </w:r>
          </w:p>
          <w:p w14:paraId="393458B4" w14:textId="3F195F8F" w:rsidR="00F6518F" w:rsidRPr="00E35A4D" w:rsidRDefault="00C85D24" w:rsidP="00F6518F">
            <w:pPr>
              <w:rPr>
                <w:b/>
                <w:sz w:val="24"/>
                <w:szCs w:val="24"/>
              </w:rPr>
            </w:pPr>
            <w:r w:rsidRPr="00E35A4D">
              <w:rPr>
                <w:b/>
                <w:sz w:val="24"/>
                <w:szCs w:val="24"/>
              </w:rPr>
              <w:t>Australia</w:t>
            </w:r>
            <w:r w:rsidR="006372D7" w:rsidRPr="00E35A4D">
              <w:rPr>
                <w:b/>
                <w:sz w:val="24"/>
                <w:szCs w:val="24"/>
              </w:rPr>
              <w:t xml:space="preserve"> </w:t>
            </w:r>
          </w:p>
        </w:tc>
      </w:tr>
      <w:tr w:rsidR="00F6518F" w:rsidRPr="00E35A4D" w14:paraId="47DFCE34" w14:textId="77777777" w:rsidTr="004966C0">
        <w:tc>
          <w:tcPr>
            <w:tcW w:w="10908" w:type="dxa"/>
          </w:tcPr>
          <w:p w14:paraId="19F5FC57" w14:textId="77777777" w:rsidR="00F6518F" w:rsidRPr="00E35A4D" w:rsidRDefault="00F6518F" w:rsidP="00F6518F">
            <w:pPr>
              <w:rPr>
                <w:b/>
                <w:sz w:val="24"/>
                <w:szCs w:val="24"/>
              </w:rPr>
            </w:pPr>
            <w:r w:rsidRPr="00E35A4D">
              <w:rPr>
                <w:b/>
                <w:sz w:val="24"/>
                <w:szCs w:val="24"/>
              </w:rPr>
              <w:t xml:space="preserve">Funding Source(s): </w:t>
            </w:r>
          </w:p>
          <w:p w14:paraId="0CDE5140" w14:textId="77777777" w:rsidR="00F6518F" w:rsidRPr="00E35A4D" w:rsidRDefault="00C85D24" w:rsidP="00C85D24">
            <w:pPr>
              <w:tabs>
                <w:tab w:val="right" w:pos="10574"/>
              </w:tabs>
              <w:rPr>
                <w:b/>
                <w:sz w:val="24"/>
                <w:szCs w:val="24"/>
              </w:rPr>
            </w:pPr>
            <w:r w:rsidRPr="00E35A4D">
              <w:rPr>
                <w:sz w:val="24"/>
                <w:szCs w:val="24"/>
              </w:rPr>
              <w:t>Northern Health, a Victorian public health service</w:t>
            </w:r>
            <w:r w:rsidRPr="00E35A4D">
              <w:rPr>
                <w:sz w:val="24"/>
                <w:szCs w:val="24"/>
              </w:rPr>
              <w:tab/>
            </w:r>
            <w:r w:rsidR="00F6518F" w:rsidRPr="00E35A4D">
              <w:rPr>
                <w:sz w:val="24"/>
                <w:szCs w:val="24"/>
              </w:rPr>
              <w:fldChar w:fldCharType="begin">
                <w:ffData>
                  <w:name w:val="Check1"/>
                  <w:enabled/>
                  <w:calcOnExit w:val="0"/>
                  <w:checkBox>
                    <w:sizeAuto/>
                    <w:default w:val="0"/>
                  </w:checkBox>
                </w:ffData>
              </w:fldChar>
            </w:r>
            <w:r w:rsidR="00F6518F" w:rsidRPr="00E35A4D">
              <w:rPr>
                <w:sz w:val="24"/>
                <w:szCs w:val="24"/>
              </w:rPr>
              <w:instrText xml:space="preserve"> FORMCHECKBOX </w:instrText>
            </w:r>
            <w:r w:rsidR="00F64A14">
              <w:rPr>
                <w:sz w:val="24"/>
                <w:szCs w:val="24"/>
              </w:rPr>
            </w:r>
            <w:r w:rsidR="00F64A14">
              <w:rPr>
                <w:sz w:val="24"/>
                <w:szCs w:val="24"/>
              </w:rPr>
              <w:fldChar w:fldCharType="separate"/>
            </w:r>
            <w:r w:rsidR="00F6518F" w:rsidRPr="00E35A4D">
              <w:rPr>
                <w:sz w:val="24"/>
                <w:szCs w:val="24"/>
              </w:rPr>
              <w:fldChar w:fldCharType="end"/>
            </w:r>
            <w:r w:rsidR="00F6518F" w:rsidRPr="00E35A4D">
              <w:rPr>
                <w:sz w:val="24"/>
                <w:szCs w:val="24"/>
              </w:rPr>
              <w:t xml:space="preserve">  None Stated</w:t>
            </w:r>
          </w:p>
        </w:tc>
      </w:tr>
    </w:tbl>
    <w:p w14:paraId="6FF68571" w14:textId="77777777" w:rsidR="00F6518F" w:rsidRPr="00E35A4D" w:rsidRDefault="00F6518F" w:rsidP="00F6518F">
      <w:pPr>
        <w:rPr>
          <w:sz w:val="24"/>
          <w:szCs w:val="24"/>
        </w:rPr>
      </w:pPr>
    </w:p>
    <w:tbl>
      <w:tblPr>
        <w:tblStyle w:val="TableGrid"/>
        <w:tblW w:w="0" w:type="auto"/>
        <w:tblLook w:val="04A0" w:firstRow="1" w:lastRow="0" w:firstColumn="1" w:lastColumn="0" w:noHBand="0" w:noVBand="1"/>
      </w:tblPr>
      <w:tblGrid>
        <w:gridCol w:w="10908"/>
      </w:tblGrid>
      <w:tr w:rsidR="00F6518F" w:rsidRPr="00E35A4D" w14:paraId="08D11F24" w14:textId="77777777" w:rsidTr="004966C0">
        <w:tc>
          <w:tcPr>
            <w:tcW w:w="10908" w:type="dxa"/>
            <w:shd w:val="clear" w:color="auto" w:fill="D9D9D9" w:themeFill="background1" w:themeFillShade="D9"/>
          </w:tcPr>
          <w:p w14:paraId="5F6A371C" w14:textId="77777777" w:rsidR="00F6518F" w:rsidRPr="00E35A4D" w:rsidRDefault="00F6518F" w:rsidP="00F6518F">
            <w:pPr>
              <w:jc w:val="center"/>
              <w:rPr>
                <w:b/>
                <w:sz w:val="24"/>
                <w:szCs w:val="24"/>
              </w:rPr>
            </w:pPr>
            <w:r w:rsidRPr="00E35A4D">
              <w:rPr>
                <w:b/>
                <w:sz w:val="24"/>
                <w:szCs w:val="24"/>
              </w:rPr>
              <w:t>Purpose</w:t>
            </w:r>
          </w:p>
        </w:tc>
      </w:tr>
      <w:tr w:rsidR="00F6518F" w:rsidRPr="00E35A4D" w14:paraId="6CFC21F6" w14:textId="77777777" w:rsidTr="004966C0">
        <w:tc>
          <w:tcPr>
            <w:tcW w:w="10908" w:type="dxa"/>
          </w:tcPr>
          <w:p w14:paraId="59A4661E" w14:textId="77777777" w:rsidR="00F6518F" w:rsidRPr="00E35A4D" w:rsidRDefault="00F6518F" w:rsidP="00F6518F">
            <w:pPr>
              <w:rPr>
                <w:b/>
                <w:sz w:val="24"/>
                <w:szCs w:val="24"/>
              </w:rPr>
            </w:pPr>
            <w:r w:rsidRPr="00E35A4D">
              <w:rPr>
                <w:b/>
                <w:sz w:val="24"/>
                <w:szCs w:val="24"/>
              </w:rPr>
              <w:t>Research Question(s):</w:t>
            </w:r>
          </w:p>
          <w:p w14:paraId="12EE7607" w14:textId="77777777" w:rsidR="00F6518F" w:rsidRPr="00E35A4D" w:rsidRDefault="00C85D24" w:rsidP="00F6518F">
            <w:pPr>
              <w:rPr>
                <w:sz w:val="24"/>
                <w:szCs w:val="24"/>
              </w:rPr>
            </w:pPr>
            <w:r w:rsidRPr="00E35A4D">
              <w:rPr>
                <w:sz w:val="24"/>
                <w:szCs w:val="24"/>
              </w:rPr>
              <w:t>Are outcomes for patients with cellulitis treated with oral antimicrobials as good as for those who are treated with parenteral antimicrobials?</w:t>
            </w:r>
          </w:p>
          <w:p w14:paraId="613297F3" w14:textId="77777777" w:rsidR="00F6518F" w:rsidRPr="00E35A4D" w:rsidRDefault="00F6518F" w:rsidP="00F6518F">
            <w:pPr>
              <w:jc w:val="right"/>
              <w:rPr>
                <w:sz w:val="24"/>
                <w:szCs w:val="24"/>
              </w:rPr>
            </w:pPr>
            <w:r w:rsidRPr="00E35A4D">
              <w:rPr>
                <w:sz w:val="24"/>
                <w:szCs w:val="24"/>
              </w:rPr>
              <w:fldChar w:fldCharType="begin">
                <w:ffData>
                  <w:name w:val="Check1"/>
                  <w:enabled/>
                  <w:calcOnExit w:val="0"/>
                  <w:checkBox>
                    <w:sizeAuto/>
                    <w:default w:val="0"/>
                  </w:checkBox>
                </w:ffData>
              </w:fldChar>
            </w:r>
            <w:bookmarkStart w:id="1" w:name="Check1"/>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bookmarkEnd w:id="1"/>
            <w:r w:rsidRPr="00E35A4D">
              <w:rPr>
                <w:sz w:val="24"/>
                <w:szCs w:val="24"/>
              </w:rPr>
              <w:t xml:space="preserve">  None Stated</w:t>
            </w:r>
          </w:p>
        </w:tc>
      </w:tr>
      <w:tr w:rsidR="00F6518F" w:rsidRPr="00E35A4D" w14:paraId="494EC036" w14:textId="77777777" w:rsidTr="004966C0">
        <w:tc>
          <w:tcPr>
            <w:tcW w:w="10908" w:type="dxa"/>
          </w:tcPr>
          <w:p w14:paraId="1FAFCEA8" w14:textId="77777777" w:rsidR="00F6518F" w:rsidRPr="00E35A4D" w:rsidRDefault="00F6518F" w:rsidP="00F6518F">
            <w:pPr>
              <w:rPr>
                <w:b/>
                <w:sz w:val="24"/>
                <w:szCs w:val="24"/>
              </w:rPr>
            </w:pPr>
            <w:r w:rsidRPr="00E35A4D">
              <w:rPr>
                <w:b/>
                <w:sz w:val="24"/>
                <w:szCs w:val="24"/>
              </w:rPr>
              <w:t>Hypotheses:</w:t>
            </w:r>
          </w:p>
          <w:p w14:paraId="3697D946" w14:textId="77777777" w:rsidR="00F6518F" w:rsidRPr="00E35A4D" w:rsidRDefault="00C85D24" w:rsidP="00F6518F">
            <w:pPr>
              <w:rPr>
                <w:sz w:val="24"/>
                <w:szCs w:val="24"/>
              </w:rPr>
            </w:pPr>
            <w:r w:rsidRPr="00E35A4D">
              <w:rPr>
                <w:sz w:val="24"/>
                <w:szCs w:val="24"/>
              </w:rPr>
              <w:t>Oral antimicrobials are at least as effective as parenteral antimicrobials.</w:t>
            </w:r>
          </w:p>
          <w:p w14:paraId="7A772EE3" w14:textId="77777777" w:rsidR="00F6518F" w:rsidRPr="00E35A4D" w:rsidRDefault="00F6518F" w:rsidP="00F6518F">
            <w:pPr>
              <w:jc w:val="right"/>
              <w:rPr>
                <w:sz w:val="24"/>
                <w:szCs w:val="24"/>
              </w:rPr>
            </w:pP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None Stated</w:t>
            </w:r>
          </w:p>
        </w:tc>
      </w:tr>
      <w:tr w:rsidR="00F6518F" w:rsidRPr="00E35A4D" w14:paraId="476012D0" w14:textId="77777777" w:rsidTr="004966C0">
        <w:tc>
          <w:tcPr>
            <w:tcW w:w="10908" w:type="dxa"/>
          </w:tcPr>
          <w:p w14:paraId="6D30BA4C" w14:textId="77777777" w:rsidR="00F6518F" w:rsidRPr="00E35A4D" w:rsidRDefault="00F6518F" w:rsidP="00F6518F">
            <w:pPr>
              <w:rPr>
                <w:b/>
                <w:sz w:val="24"/>
                <w:szCs w:val="24"/>
              </w:rPr>
            </w:pPr>
            <w:r w:rsidRPr="00E35A4D">
              <w:rPr>
                <w:b/>
                <w:sz w:val="24"/>
                <w:szCs w:val="24"/>
              </w:rPr>
              <w:t>Study Purpose:</w:t>
            </w:r>
          </w:p>
          <w:p w14:paraId="0167D7EB" w14:textId="77777777" w:rsidR="00F6518F" w:rsidRPr="00E35A4D" w:rsidRDefault="00AF5662" w:rsidP="00F6518F">
            <w:pPr>
              <w:rPr>
                <w:sz w:val="24"/>
                <w:szCs w:val="24"/>
              </w:rPr>
            </w:pPr>
            <w:r w:rsidRPr="00E35A4D">
              <w:rPr>
                <w:sz w:val="24"/>
                <w:szCs w:val="24"/>
              </w:rPr>
              <w:t xml:space="preserve">To compare the outcomes for patients with uncomplicated cellulitis who are treated with oral antimicrobials with those who are treated with parenteral antimicrobials. </w:t>
            </w:r>
          </w:p>
          <w:p w14:paraId="07D311D7" w14:textId="77777777" w:rsidR="00F6518F" w:rsidRPr="00E35A4D" w:rsidRDefault="00F6518F" w:rsidP="00F6518F">
            <w:pPr>
              <w:rPr>
                <w:sz w:val="24"/>
                <w:szCs w:val="24"/>
              </w:rPr>
            </w:pPr>
          </w:p>
        </w:tc>
      </w:tr>
    </w:tbl>
    <w:p w14:paraId="4BBE9343" w14:textId="77777777" w:rsidR="00F6518F" w:rsidRPr="00E35A4D" w:rsidRDefault="00F6518F" w:rsidP="00F6518F">
      <w:pPr>
        <w:rPr>
          <w:sz w:val="24"/>
          <w:szCs w:val="24"/>
        </w:rPr>
      </w:pPr>
    </w:p>
    <w:tbl>
      <w:tblPr>
        <w:tblStyle w:val="TableGrid"/>
        <w:tblW w:w="0" w:type="auto"/>
        <w:tblLook w:val="04A0" w:firstRow="1" w:lastRow="0" w:firstColumn="1" w:lastColumn="0" w:noHBand="0" w:noVBand="1"/>
      </w:tblPr>
      <w:tblGrid>
        <w:gridCol w:w="10908"/>
      </w:tblGrid>
      <w:tr w:rsidR="00522018" w:rsidRPr="00E35A4D" w14:paraId="2E56ED0D" w14:textId="77777777" w:rsidTr="004966C0">
        <w:tc>
          <w:tcPr>
            <w:tcW w:w="10908" w:type="dxa"/>
            <w:shd w:val="clear" w:color="auto" w:fill="D9D9D9" w:themeFill="background1" w:themeFillShade="D9"/>
          </w:tcPr>
          <w:p w14:paraId="69243D77" w14:textId="77777777" w:rsidR="00522018" w:rsidRPr="00E35A4D" w:rsidRDefault="00522018" w:rsidP="00522018">
            <w:pPr>
              <w:jc w:val="center"/>
              <w:rPr>
                <w:b/>
                <w:sz w:val="24"/>
                <w:szCs w:val="24"/>
              </w:rPr>
            </w:pPr>
            <w:r w:rsidRPr="00E35A4D">
              <w:rPr>
                <w:b/>
                <w:sz w:val="24"/>
                <w:szCs w:val="24"/>
              </w:rPr>
              <w:t>Methods</w:t>
            </w:r>
          </w:p>
        </w:tc>
      </w:tr>
      <w:tr w:rsidR="00522018" w:rsidRPr="00E35A4D" w14:paraId="20FB3CBB" w14:textId="77777777" w:rsidTr="004966C0">
        <w:tc>
          <w:tcPr>
            <w:tcW w:w="10908" w:type="dxa"/>
          </w:tcPr>
          <w:p w14:paraId="57D0D800" w14:textId="77777777" w:rsidR="00522018" w:rsidRPr="00E35A4D" w:rsidRDefault="00522018" w:rsidP="00F6518F">
            <w:pPr>
              <w:rPr>
                <w:b/>
                <w:sz w:val="24"/>
                <w:szCs w:val="24"/>
              </w:rPr>
            </w:pPr>
            <w:r w:rsidRPr="00E35A4D">
              <w:rPr>
                <w:b/>
                <w:sz w:val="24"/>
                <w:szCs w:val="24"/>
              </w:rPr>
              <w:t>Study Design:</w:t>
            </w:r>
          </w:p>
          <w:p w14:paraId="01FB4E65" w14:textId="77777777" w:rsidR="00522018" w:rsidRPr="00E35A4D" w:rsidRDefault="00AF5662" w:rsidP="00F6518F">
            <w:pPr>
              <w:rPr>
                <w:sz w:val="24"/>
                <w:szCs w:val="24"/>
              </w:rPr>
            </w:pPr>
            <w:r w:rsidRPr="00E35A4D">
              <w:rPr>
                <w:sz w:val="24"/>
                <w:szCs w:val="24"/>
              </w:rPr>
              <w:t>Randomized, open-label</w:t>
            </w:r>
            <w:r w:rsidR="007E7800" w:rsidRPr="00E35A4D">
              <w:rPr>
                <w:sz w:val="24"/>
                <w:szCs w:val="24"/>
              </w:rPr>
              <w:t>, non-inferiority trial at a single site.</w:t>
            </w:r>
          </w:p>
        </w:tc>
      </w:tr>
      <w:tr w:rsidR="00522018" w:rsidRPr="00E35A4D" w14:paraId="626350BB" w14:textId="77777777" w:rsidTr="004966C0">
        <w:tc>
          <w:tcPr>
            <w:tcW w:w="10908" w:type="dxa"/>
          </w:tcPr>
          <w:p w14:paraId="615582B6" w14:textId="77777777" w:rsidR="00522018" w:rsidRPr="00E35A4D" w:rsidRDefault="00522018" w:rsidP="00F6518F">
            <w:pPr>
              <w:rPr>
                <w:b/>
                <w:sz w:val="24"/>
                <w:szCs w:val="24"/>
              </w:rPr>
            </w:pPr>
            <w:r w:rsidRPr="00E35A4D">
              <w:rPr>
                <w:b/>
                <w:sz w:val="24"/>
                <w:szCs w:val="24"/>
              </w:rPr>
              <w:t xml:space="preserve">Outcome(s) </w:t>
            </w:r>
            <w:r w:rsidRPr="00E35A4D">
              <w:rPr>
                <w:b/>
                <w:i/>
                <w:sz w:val="24"/>
                <w:szCs w:val="24"/>
              </w:rPr>
              <w:t>[or Dependent Variable]:</w:t>
            </w:r>
          </w:p>
          <w:p w14:paraId="28847A7A" w14:textId="77777777" w:rsidR="00522018" w:rsidRPr="00E35A4D" w:rsidRDefault="00CA2F5A" w:rsidP="00F6518F">
            <w:pPr>
              <w:rPr>
                <w:sz w:val="24"/>
                <w:szCs w:val="24"/>
              </w:rPr>
            </w:pPr>
            <w:r w:rsidRPr="00E35A4D">
              <w:rPr>
                <w:sz w:val="24"/>
                <w:szCs w:val="24"/>
              </w:rPr>
              <w:t>Primary outcome: Time until no advancement of the area of cellulitis</w:t>
            </w:r>
          </w:p>
          <w:p w14:paraId="7D5B658B" w14:textId="77777777" w:rsidR="00CA2F5A" w:rsidRPr="00E35A4D" w:rsidRDefault="00CA2F5A" w:rsidP="00F6518F">
            <w:pPr>
              <w:rPr>
                <w:sz w:val="24"/>
                <w:szCs w:val="24"/>
              </w:rPr>
            </w:pPr>
          </w:p>
          <w:p w14:paraId="365393C9" w14:textId="77777777" w:rsidR="00CA2F5A" w:rsidRPr="00E35A4D" w:rsidRDefault="00CA2F5A" w:rsidP="00F6518F">
            <w:pPr>
              <w:rPr>
                <w:sz w:val="24"/>
                <w:szCs w:val="24"/>
              </w:rPr>
            </w:pPr>
            <w:r w:rsidRPr="00E35A4D">
              <w:rPr>
                <w:sz w:val="24"/>
                <w:szCs w:val="24"/>
              </w:rPr>
              <w:t>Secondary outcomes: Failure of treatment, pain, complications of treatment, satisfaction with care</w:t>
            </w:r>
          </w:p>
          <w:p w14:paraId="3F595D76" w14:textId="77777777" w:rsidR="00522018" w:rsidRPr="00E35A4D" w:rsidRDefault="00522018" w:rsidP="00F6518F">
            <w:pPr>
              <w:rPr>
                <w:sz w:val="24"/>
                <w:szCs w:val="24"/>
              </w:rPr>
            </w:pPr>
          </w:p>
        </w:tc>
      </w:tr>
      <w:tr w:rsidR="00522018" w:rsidRPr="00E35A4D" w14:paraId="68E467EA" w14:textId="77777777" w:rsidTr="004966C0">
        <w:tc>
          <w:tcPr>
            <w:tcW w:w="10908" w:type="dxa"/>
          </w:tcPr>
          <w:p w14:paraId="171D001C" w14:textId="77777777" w:rsidR="00522018" w:rsidRPr="00E35A4D" w:rsidRDefault="00522018" w:rsidP="00F6518F">
            <w:pPr>
              <w:rPr>
                <w:b/>
                <w:sz w:val="24"/>
                <w:szCs w:val="24"/>
              </w:rPr>
            </w:pPr>
            <w:r w:rsidRPr="00E35A4D">
              <w:rPr>
                <w:b/>
                <w:sz w:val="24"/>
                <w:szCs w:val="24"/>
              </w:rPr>
              <w:t xml:space="preserve">Intervention </w:t>
            </w:r>
            <w:r w:rsidRPr="00E35A4D">
              <w:rPr>
                <w:b/>
                <w:i/>
                <w:sz w:val="24"/>
                <w:szCs w:val="24"/>
              </w:rPr>
              <w:t>[or Independent Variable]:</w:t>
            </w:r>
          </w:p>
          <w:p w14:paraId="4E99F468" w14:textId="77777777" w:rsidR="00522018" w:rsidRPr="00E35A4D" w:rsidRDefault="00CA2F5A" w:rsidP="00F6518F">
            <w:pPr>
              <w:rPr>
                <w:sz w:val="24"/>
                <w:szCs w:val="24"/>
              </w:rPr>
            </w:pPr>
            <w:r w:rsidRPr="00E35A4D">
              <w:rPr>
                <w:sz w:val="24"/>
                <w:szCs w:val="24"/>
              </w:rPr>
              <w:t>Oral arm: 1g cephalexin orally QID for 10 days (or clinda 450 TID x 10d, if they had ß- lactam hypersensitivity)</w:t>
            </w:r>
          </w:p>
          <w:p w14:paraId="03422981" w14:textId="77777777" w:rsidR="00CA2F5A" w:rsidRPr="00E35A4D" w:rsidRDefault="00CA2F5A" w:rsidP="00F6518F">
            <w:pPr>
              <w:rPr>
                <w:sz w:val="24"/>
                <w:szCs w:val="24"/>
              </w:rPr>
            </w:pPr>
          </w:p>
          <w:p w14:paraId="1C3EE6AC" w14:textId="77777777" w:rsidR="00CA2F5A" w:rsidRPr="00E35A4D" w:rsidRDefault="00CA2F5A" w:rsidP="00F6518F">
            <w:pPr>
              <w:rPr>
                <w:rFonts w:eastAsia="Heiti SC" w:cs="Heiti SC"/>
                <w:sz w:val="24"/>
                <w:szCs w:val="24"/>
              </w:rPr>
            </w:pPr>
            <w:r w:rsidRPr="00E35A4D">
              <w:rPr>
                <w:sz w:val="24"/>
                <w:szCs w:val="24"/>
              </w:rPr>
              <w:t>Parenteral arm: 2g cefazolin IV Q12 (or clinda 450mg IV Q8 if they had ß- lactam hypersensitivity). These abx were continued until the area of cellulitis</w:t>
            </w:r>
            <w:r w:rsidRPr="00E35A4D">
              <w:rPr>
                <w:b/>
                <w:sz w:val="24"/>
                <w:szCs w:val="24"/>
              </w:rPr>
              <w:t xml:space="preserve"> was no longer progressing and the patient was afebrile. </w:t>
            </w:r>
            <w:r w:rsidRPr="00E35A4D">
              <w:rPr>
                <w:sz w:val="24"/>
                <w:szCs w:val="24"/>
              </w:rPr>
              <w:t>Then they received oral abx as above</w:t>
            </w:r>
            <w:r w:rsidR="00CC564A" w:rsidRPr="00E35A4D">
              <w:rPr>
                <w:sz w:val="24"/>
                <w:szCs w:val="24"/>
              </w:rPr>
              <w:t xml:space="preserve"> for a total duration (IV + PO duration) of 10 days. </w:t>
            </w:r>
          </w:p>
          <w:p w14:paraId="34241FCA" w14:textId="77777777" w:rsidR="00522018" w:rsidRPr="00E35A4D" w:rsidRDefault="00522018" w:rsidP="00F6518F">
            <w:pPr>
              <w:rPr>
                <w:sz w:val="24"/>
                <w:szCs w:val="24"/>
              </w:rPr>
            </w:pPr>
          </w:p>
        </w:tc>
      </w:tr>
      <w:tr w:rsidR="00522018" w:rsidRPr="00E35A4D" w14:paraId="70183051" w14:textId="77777777" w:rsidTr="004966C0">
        <w:tc>
          <w:tcPr>
            <w:tcW w:w="10908" w:type="dxa"/>
          </w:tcPr>
          <w:p w14:paraId="1D736C8D" w14:textId="5144B62C" w:rsidR="00522018" w:rsidRPr="00E35A4D" w:rsidRDefault="00522018" w:rsidP="00C770ED">
            <w:pPr>
              <w:rPr>
                <w:sz w:val="24"/>
                <w:szCs w:val="24"/>
              </w:rPr>
            </w:pPr>
            <w:r w:rsidRPr="00E35A4D">
              <w:rPr>
                <w:b/>
                <w:sz w:val="24"/>
                <w:szCs w:val="24"/>
              </w:rPr>
              <w:lastRenderedPageBreak/>
              <w:t>Ethics Review:</w:t>
            </w:r>
            <w:r w:rsidRPr="00E35A4D">
              <w:rPr>
                <w:sz w:val="24"/>
                <w:szCs w:val="24"/>
              </w:rPr>
              <w:t xml:space="preserve">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w:t>
            </w:r>
            <w:r w:rsidR="003546FB" w:rsidRPr="00E35A4D">
              <w:rPr>
                <w:sz w:val="24"/>
                <w:szCs w:val="24"/>
              </w:rPr>
              <w:t xml:space="preserve">IRB Review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IACUC Review   </w:t>
            </w:r>
            <w:r w:rsidR="00C770ED" w:rsidRPr="00E35A4D">
              <w:rPr>
                <w:sz w:val="24"/>
                <w:szCs w:val="24"/>
              </w:rPr>
              <w:fldChar w:fldCharType="begin">
                <w:ffData>
                  <w:name w:val=""/>
                  <w:enabled/>
                  <w:calcOnExit w:val="0"/>
                  <w:checkBox>
                    <w:size w:val="20"/>
                    <w:default w:val="1"/>
                  </w:checkBox>
                </w:ffData>
              </w:fldChar>
            </w:r>
            <w:r w:rsidR="00C770ED" w:rsidRPr="00E35A4D">
              <w:rPr>
                <w:sz w:val="24"/>
                <w:szCs w:val="24"/>
              </w:rPr>
              <w:instrText xml:space="preserve"> FORMCHECKBOX </w:instrText>
            </w:r>
            <w:r w:rsidR="00F64A14">
              <w:rPr>
                <w:sz w:val="24"/>
                <w:szCs w:val="24"/>
              </w:rPr>
            </w:r>
            <w:r w:rsidR="00F64A14">
              <w:rPr>
                <w:sz w:val="24"/>
                <w:szCs w:val="24"/>
              </w:rPr>
              <w:fldChar w:fldCharType="separate"/>
            </w:r>
            <w:r w:rsidR="00C770ED" w:rsidRPr="00E35A4D">
              <w:rPr>
                <w:sz w:val="24"/>
                <w:szCs w:val="24"/>
              </w:rPr>
              <w:fldChar w:fldCharType="end"/>
            </w:r>
            <w:r w:rsidRPr="00E35A4D">
              <w:rPr>
                <w:sz w:val="24"/>
                <w:szCs w:val="24"/>
              </w:rPr>
              <w:t xml:space="preserve">  </w:t>
            </w:r>
            <w:r w:rsidRPr="00E35A4D">
              <w:rPr>
                <w:b/>
                <w:sz w:val="24"/>
                <w:szCs w:val="24"/>
              </w:rPr>
              <w:t xml:space="preserve">Other: </w:t>
            </w:r>
            <w:r w:rsidR="00FC4BD5" w:rsidRPr="00E35A4D">
              <w:rPr>
                <w:b/>
                <w:sz w:val="24"/>
                <w:szCs w:val="24"/>
              </w:rPr>
              <w:t>Northern Healthy Research and Ethics Committee</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None Stated</w:t>
            </w:r>
          </w:p>
        </w:tc>
      </w:tr>
      <w:tr w:rsidR="003546FB" w:rsidRPr="00E35A4D" w14:paraId="6B069CBC" w14:textId="77777777" w:rsidTr="004966C0">
        <w:tc>
          <w:tcPr>
            <w:tcW w:w="10908" w:type="dxa"/>
          </w:tcPr>
          <w:p w14:paraId="6B027E1F" w14:textId="77777777" w:rsidR="003546FB" w:rsidRPr="00E35A4D" w:rsidRDefault="003546FB" w:rsidP="00522018">
            <w:pPr>
              <w:rPr>
                <w:sz w:val="24"/>
                <w:szCs w:val="24"/>
              </w:rPr>
            </w:pPr>
            <w:r w:rsidRPr="00E35A4D">
              <w:rPr>
                <w:b/>
                <w:sz w:val="24"/>
                <w:szCs w:val="24"/>
              </w:rPr>
              <w:t>Research Setting:</w:t>
            </w:r>
          </w:p>
          <w:p w14:paraId="59AD5E47" w14:textId="77777777" w:rsidR="003546FB" w:rsidRPr="00E35A4D" w:rsidRDefault="00FC4BD5" w:rsidP="00522018">
            <w:pPr>
              <w:rPr>
                <w:b/>
                <w:sz w:val="24"/>
                <w:szCs w:val="24"/>
              </w:rPr>
            </w:pPr>
            <w:r w:rsidRPr="00E35A4D">
              <w:rPr>
                <w:sz w:val="24"/>
                <w:szCs w:val="24"/>
              </w:rPr>
              <w:t>Single, tertiary teaching hospital in metropolitan Melbourne, population ~728,000</w:t>
            </w:r>
          </w:p>
        </w:tc>
      </w:tr>
      <w:tr w:rsidR="003546FB" w:rsidRPr="00E35A4D" w14:paraId="1C9861AA" w14:textId="77777777" w:rsidTr="004966C0">
        <w:tc>
          <w:tcPr>
            <w:tcW w:w="10908" w:type="dxa"/>
          </w:tcPr>
          <w:p w14:paraId="77B7DB6B" w14:textId="77777777" w:rsidR="003546FB" w:rsidRPr="00E35A4D" w:rsidRDefault="003546FB" w:rsidP="00522018">
            <w:pPr>
              <w:rPr>
                <w:b/>
                <w:sz w:val="24"/>
                <w:szCs w:val="24"/>
              </w:rPr>
            </w:pPr>
            <w:r w:rsidRPr="00E35A4D">
              <w:rPr>
                <w:b/>
                <w:sz w:val="24"/>
                <w:szCs w:val="24"/>
              </w:rPr>
              <w:t>Study Subjects:</w:t>
            </w:r>
          </w:p>
          <w:p w14:paraId="63699347" w14:textId="77777777" w:rsidR="00FC4BD5" w:rsidRPr="00E35A4D" w:rsidRDefault="00FC4BD5" w:rsidP="00522018">
            <w:pPr>
              <w:rPr>
                <w:sz w:val="24"/>
                <w:szCs w:val="24"/>
              </w:rPr>
            </w:pPr>
            <w:r w:rsidRPr="00E35A4D">
              <w:rPr>
                <w:sz w:val="24"/>
                <w:szCs w:val="24"/>
              </w:rPr>
              <w:t>Patients referred by emergency department staff for treatment of cellulitis with parenteral abx because of either the severity of cellulitis or because of progression despite prior oral abx.</w:t>
            </w:r>
          </w:p>
          <w:p w14:paraId="6443EAED" w14:textId="77777777" w:rsidR="00FC4BD5" w:rsidRPr="00E35A4D" w:rsidRDefault="00FC4BD5" w:rsidP="00522018">
            <w:pPr>
              <w:rPr>
                <w:sz w:val="24"/>
                <w:szCs w:val="24"/>
              </w:rPr>
            </w:pPr>
          </w:p>
        </w:tc>
      </w:tr>
      <w:tr w:rsidR="003546FB" w:rsidRPr="00E35A4D" w14:paraId="62783C42" w14:textId="77777777" w:rsidTr="004966C0">
        <w:tc>
          <w:tcPr>
            <w:tcW w:w="10908" w:type="dxa"/>
          </w:tcPr>
          <w:p w14:paraId="1CE768E3" w14:textId="77777777" w:rsidR="003546FB" w:rsidRPr="00E35A4D" w:rsidRDefault="003546FB" w:rsidP="00522018">
            <w:pPr>
              <w:rPr>
                <w:b/>
                <w:sz w:val="24"/>
                <w:szCs w:val="24"/>
              </w:rPr>
            </w:pPr>
            <w:r w:rsidRPr="00E35A4D">
              <w:rPr>
                <w:b/>
                <w:sz w:val="24"/>
                <w:szCs w:val="24"/>
              </w:rPr>
              <w:t>Inclusion Criteria:</w:t>
            </w:r>
          </w:p>
          <w:p w14:paraId="74AF93CB" w14:textId="77777777" w:rsidR="003546FB" w:rsidRPr="00E35A4D" w:rsidRDefault="00FC4BD5" w:rsidP="00522018">
            <w:pPr>
              <w:rPr>
                <w:sz w:val="24"/>
                <w:szCs w:val="24"/>
              </w:rPr>
            </w:pPr>
            <w:r w:rsidRPr="00E35A4D">
              <w:rPr>
                <w:sz w:val="24"/>
                <w:szCs w:val="24"/>
              </w:rPr>
              <w:t>&gt;16 yo with cellulitis that was deemed to be “severe” or with progression despite oral antibiotics</w:t>
            </w:r>
          </w:p>
          <w:p w14:paraId="0EC5CFF4" w14:textId="77777777" w:rsidR="00FC4BD5" w:rsidRPr="00E35A4D" w:rsidRDefault="00FC4BD5" w:rsidP="00522018">
            <w:pPr>
              <w:rPr>
                <w:sz w:val="24"/>
                <w:szCs w:val="24"/>
              </w:rPr>
            </w:pPr>
          </w:p>
          <w:p w14:paraId="55C78B32" w14:textId="77777777" w:rsidR="00FC4BD5" w:rsidRPr="00E35A4D" w:rsidRDefault="00FC4BD5" w:rsidP="00522018">
            <w:pPr>
              <w:rPr>
                <w:sz w:val="24"/>
                <w:szCs w:val="24"/>
              </w:rPr>
            </w:pPr>
            <w:r w:rsidRPr="00E35A4D">
              <w:rPr>
                <w:b/>
                <w:sz w:val="24"/>
                <w:szCs w:val="24"/>
              </w:rPr>
              <w:t xml:space="preserve">Cellulitis defined as: </w:t>
            </w:r>
            <w:r w:rsidRPr="00E35A4D">
              <w:rPr>
                <w:sz w:val="24"/>
                <w:szCs w:val="24"/>
              </w:rPr>
              <w:t>presence of acute dermal/epidermal inflammation lasting &lt;5 days and associated with any of the following:</w:t>
            </w:r>
          </w:p>
          <w:p w14:paraId="6333E8E9" w14:textId="77777777" w:rsidR="00FC4BD5" w:rsidRPr="00E35A4D" w:rsidRDefault="00FC4BD5" w:rsidP="00FC4BD5">
            <w:pPr>
              <w:rPr>
                <w:sz w:val="24"/>
                <w:szCs w:val="24"/>
              </w:rPr>
            </w:pPr>
            <w:r w:rsidRPr="00E35A4D">
              <w:rPr>
                <w:sz w:val="24"/>
                <w:szCs w:val="24"/>
              </w:rPr>
              <w:t>-pain</w:t>
            </w:r>
          </w:p>
          <w:p w14:paraId="597B1420" w14:textId="77777777" w:rsidR="00FC4BD5" w:rsidRPr="00E35A4D" w:rsidRDefault="00FC4BD5" w:rsidP="00FC4BD5">
            <w:pPr>
              <w:rPr>
                <w:sz w:val="24"/>
                <w:szCs w:val="24"/>
              </w:rPr>
            </w:pPr>
            <w:r w:rsidRPr="00E35A4D">
              <w:rPr>
                <w:sz w:val="24"/>
                <w:szCs w:val="24"/>
              </w:rPr>
              <w:t>-fever (&gt;37.8)</w:t>
            </w:r>
          </w:p>
          <w:p w14:paraId="61BFF587" w14:textId="77777777" w:rsidR="00FC4BD5" w:rsidRPr="00E35A4D" w:rsidRDefault="00FC4BD5" w:rsidP="00FC4BD5">
            <w:pPr>
              <w:rPr>
                <w:sz w:val="24"/>
                <w:szCs w:val="24"/>
              </w:rPr>
            </w:pPr>
            <w:r w:rsidRPr="00E35A4D">
              <w:rPr>
                <w:sz w:val="24"/>
                <w:szCs w:val="24"/>
              </w:rPr>
              <w:t>-HR &gt; 90</w:t>
            </w:r>
          </w:p>
          <w:p w14:paraId="1C3B1715" w14:textId="77777777" w:rsidR="00FC4BD5" w:rsidRPr="00E35A4D" w:rsidRDefault="00FC4BD5" w:rsidP="00FC4BD5">
            <w:pPr>
              <w:rPr>
                <w:sz w:val="24"/>
                <w:szCs w:val="24"/>
              </w:rPr>
            </w:pPr>
            <w:r w:rsidRPr="00E35A4D">
              <w:rPr>
                <w:sz w:val="24"/>
                <w:szCs w:val="24"/>
              </w:rPr>
              <w:t>-systemic symptoms (reported fever, rigors, nausea, malaise)</w:t>
            </w:r>
          </w:p>
          <w:p w14:paraId="21F14EB5" w14:textId="77777777" w:rsidR="00FC4BD5" w:rsidRPr="00E35A4D" w:rsidRDefault="00FC4BD5" w:rsidP="00FC4BD5">
            <w:pPr>
              <w:rPr>
                <w:sz w:val="24"/>
                <w:szCs w:val="24"/>
              </w:rPr>
            </w:pPr>
            <w:r w:rsidRPr="00E35A4D">
              <w:rPr>
                <w:sz w:val="24"/>
                <w:szCs w:val="24"/>
              </w:rPr>
              <w:t>-elevated inflammatory markers</w:t>
            </w:r>
          </w:p>
          <w:p w14:paraId="41653392" w14:textId="77777777" w:rsidR="00FC4BD5" w:rsidRPr="00E35A4D" w:rsidRDefault="00FC4BD5" w:rsidP="00FC4BD5">
            <w:pPr>
              <w:rPr>
                <w:sz w:val="24"/>
                <w:szCs w:val="24"/>
              </w:rPr>
            </w:pPr>
          </w:p>
        </w:tc>
      </w:tr>
      <w:tr w:rsidR="003546FB" w:rsidRPr="00E35A4D" w14:paraId="06320522" w14:textId="77777777" w:rsidTr="004966C0">
        <w:tc>
          <w:tcPr>
            <w:tcW w:w="10908" w:type="dxa"/>
          </w:tcPr>
          <w:p w14:paraId="39AC901C" w14:textId="77777777" w:rsidR="003546FB" w:rsidRPr="00E35A4D" w:rsidRDefault="003546FB" w:rsidP="00522018">
            <w:pPr>
              <w:rPr>
                <w:b/>
                <w:sz w:val="24"/>
                <w:szCs w:val="24"/>
              </w:rPr>
            </w:pPr>
            <w:r w:rsidRPr="00E35A4D">
              <w:rPr>
                <w:b/>
                <w:sz w:val="24"/>
                <w:szCs w:val="24"/>
              </w:rPr>
              <w:t>Exclusion Criteria:</w:t>
            </w:r>
          </w:p>
          <w:p w14:paraId="2C215DBC" w14:textId="77777777" w:rsidR="003546FB" w:rsidRPr="00E35A4D" w:rsidRDefault="00FC4BD5" w:rsidP="00522018">
            <w:pPr>
              <w:rPr>
                <w:sz w:val="24"/>
                <w:szCs w:val="24"/>
              </w:rPr>
            </w:pPr>
            <w:r w:rsidRPr="00E35A4D">
              <w:rPr>
                <w:sz w:val="24"/>
                <w:szCs w:val="24"/>
              </w:rPr>
              <w:t>-Inability to give consent</w:t>
            </w:r>
          </w:p>
          <w:p w14:paraId="1715CDCA" w14:textId="77777777" w:rsidR="00FC4BD5" w:rsidRPr="00E35A4D" w:rsidRDefault="00FC4BD5" w:rsidP="00522018">
            <w:pPr>
              <w:rPr>
                <w:sz w:val="24"/>
                <w:szCs w:val="24"/>
              </w:rPr>
            </w:pPr>
            <w:r w:rsidRPr="00E35A4D">
              <w:rPr>
                <w:sz w:val="24"/>
                <w:szCs w:val="24"/>
              </w:rPr>
              <w:t>-unavailable for follow up</w:t>
            </w:r>
          </w:p>
          <w:p w14:paraId="3A8485B7" w14:textId="77777777" w:rsidR="00FC4BD5" w:rsidRPr="00E35A4D" w:rsidRDefault="00FC4BD5" w:rsidP="00522018">
            <w:pPr>
              <w:rPr>
                <w:sz w:val="24"/>
                <w:szCs w:val="24"/>
              </w:rPr>
            </w:pPr>
            <w:r w:rsidRPr="00E35A4D">
              <w:rPr>
                <w:sz w:val="24"/>
                <w:szCs w:val="24"/>
              </w:rPr>
              <w:t>-alternative diagnosis to cellulitis</w:t>
            </w:r>
          </w:p>
          <w:p w14:paraId="090A9453" w14:textId="77777777" w:rsidR="00FC4BD5" w:rsidRPr="00E35A4D" w:rsidRDefault="00FC4BD5" w:rsidP="00522018">
            <w:pPr>
              <w:rPr>
                <w:sz w:val="24"/>
                <w:szCs w:val="24"/>
              </w:rPr>
            </w:pPr>
            <w:r w:rsidRPr="00E35A4D">
              <w:rPr>
                <w:sz w:val="24"/>
                <w:szCs w:val="24"/>
              </w:rPr>
              <w:t>-necrotizing fasciitis</w:t>
            </w:r>
          </w:p>
          <w:p w14:paraId="75E8FBA2" w14:textId="77777777" w:rsidR="00FC4BD5" w:rsidRPr="00E35A4D" w:rsidRDefault="00FC4BD5" w:rsidP="00522018">
            <w:pPr>
              <w:rPr>
                <w:sz w:val="24"/>
                <w:szCs w:val="24"/>
              </w:rPr>
            </w:pPr>
            <w:r w:rsidRPr="00E35A4D">
              <w:rPr>
                <w:sz w:val="24"/>
                <w:szCs w:val="24"/>
              </w:rPr>
              <w:t>-complicated cellulitis (presence of severe sepsis, extensive bullous skin changes, abscess formation)</w:t>
            </w:r>
          </w:p>
          <w:p w14:paraId="060A5AA2" w14:textId="77777777" w:rsidR="00FC4BD5" w:rsidRPr="00E35A4D" w:rsidRDefault="00FC4BD5" w:rsidP="00522018">
            <w:pPr>
              <w:rPr>
                <w:sz w:val="24"/>
                <w:szCs w:val="24"/>
              </w:rPr>
            </w:pPr>
            <w:r w:rsidRPr="00E35A4D">
              <w:rPr>
                <w:sz w:val="24"/>
                <w:szCs w:val="24"/>
              </w:rPr>
              <w:t>-mild cellulitis (limited area and no systemic symptoms)</w:t>
            </w:r>
          </w:p>
          <w:p w14:paraId="5643B82A" w14:textId="77777777" w:rsidR="00FC4BD5" w:rsidRPr="00E35A4D" w:rsidRDefault="00FC4BD5" w:rsidP="00522018">
            <w:pPr>
              <w:rPr>
                <w:sz w:val="24"/>
                <w:szCs w:val="24"/>
              </w:rPr>
            </w:pPr>
            <w:r w:rsidRPr="00E35A4D">
              <w:rPr>
                <w:sz w:val="24"/>
                <w:szCs w:val="24"/>
              </w:rPr>
              <w:t>-cellulitis complicated trauma</w:t>
            </w:r>
          </w:p>
          <w:p w14:paraId="7EFD0FC0" w14:textId="77777777" w:rsidR="00FC4BD5" w:rsidRPr="00E35A4D" w:rsidRDefault="00FC4BD5" w:rsidP="00522018">
            <w:pPr>
              <w:rPr>
                <w:sz w:val="24"/>
                <w:szCs w:val="24"/>
              </w:rPr>
            </w:pPr>
            <w:r w:rsidRPr="00E35A4D">
              <w:rPr>
                <w:sz w:val="24"/>
                <w:szCs w:val="24"/>
              </w:rPr>
              <w:t>-periorbital cellulitis</w:t>
            </w:r>
          </w:p>
          <w:p w14:paraId="4D52398D" w14:textId="77777777" w:rsidR="00FC4BD5" w:rsidRPr="00E35A4D" w:rsidRDefault="00FC4BD5" w:rsidP="00522018">
            <w:pPr>
              <w:rPr>
                <w:sz w:val="24"/>
                <w:szCs w:val="24"/>
              </w:rPr>
            </w:pPr>
            <w:r w:rsidRPr="00E35A4D">
              <w:rPr>
                <w:sz w:val="24"/>
                <w:szCs w:val="24"/>
              </w:rPr>
              <w:t>-</w:t>
            </w:r>
            <w:r w:rsidR="001D23C8" w:rsidRPr="00E35A4D">
              <w:rPr>
                <w:sz w:val="24"/>
                <w:szCs w:val="24"/>
              </w:rPr>
              <w:t>immunosuppressed</w:t>
            </w:r>
            <w:r w:rsidRPr="00E35A4D">
              <w:rPr>
                <w:sz w:val="24"/>
                <w:szCs w:val="24"/>
              </w:rPr>
              <w:t xml:space="preserve"> patients</w:t>
            </w:r>
          </w:p>
          <w:p w14:paraId="6676B95A" w14:textId="77777777" w:rsidR="00FC4BD5" w:rsidRPr="00E35A4D" w:rsidRDefault="00FC4BD5" w:rsidP="00522018">
            <w:pPr>
              <w:rPr>
                <w:sz w:val="24"/>
                <w:szCs w:val="24"/>
              </w:rPr>
            </w:pPr>
            <w:r w:rsidRPr="00E35A4D">
              <w:rPr>
                <w:sz w:val="24"/>
                <w:szCs w:val="24"/>
              </w:rPr>
              <w:t>-vomiting precluding oral therapy</w:t>
            </w:r>
          </w:p>
          <w:p w14:paraId="73B19772" w14:textId="77777777" w:rsidR="00FC4BD5" w:rsidRPr="00E35A4D" w:rsidRDefault="001D23C8" w:rsidP="00522018">
            <w:pPr>
              <w:rPr>
                <w:sz w:val="24"/>
                <w:szCs w:val="24"/>
              </w:rPr>
            </w:pPr>
            <w:r w:rsidRPr="00E35A4D">
              <w:rPr>
                <w:sz w:val="24"/>
                <w:szCs w:val="24"/>
              </w:rPr>
              <w:t>-prior treatment with abx  (&gt;48 hours if oral, &gt;12 hours if IV)</w:t>
            </w:r>
          </w:p>
          <w:p w14:paraId="7F0BE3E0" w14:textId="77777777" w:rsidR="00FC4BD5" w:rsidRPr="00E35A4D" w:rsidRDefault="00FC4BD5" w:rsidP="00522018">
            <w:pPr>
              <w:rPr>
                <w:b/>
                <w:sz w:val="24"/>
                <w:szCs w:val="24"/>
              </w:rPr>
            </w:pPr>
          </w:p>
        </w:tc>
      </w:tr>
      <w:tr w:rsidR="003546FB" w:rsidRPr="00E35A4D" w14:paraId="7D3DDA7F" w14:textId="77777777" w:rsidTr="004966C0">
        <w:tc>
          <w:tcPr>
            <w:tcW w:w="10908" w:type="dxa"/>
          </w:tcPr>
          <w:p w14:paraId="47FBAD76" w14:textId="77777777" w:rsidR="003546FB" w:rsidRPr="00E35A4D" w:rsidRDefault="003546FB" w:rsidP="00522018">
            <w:pPr>
              <w:rPr>
                <w:b/>
                <w:sz w:val="24"/>
                <w:szCs w:val="24"/>
              </w:rPr>
            </w:pPr>
            <w:r w:rsidRPr="00E35A4D">
              <w:rPr>
                <w:b/>
                <w:sz w:val="24"/>
                <w:szCs w:val="24"/>
              </w:rPr>
              <w:t>Study Interventions:</w:t>
            </w:r>
          </w:p>
          <w:p w14:paraId="1D3A65FB" w14:textId="77777777" w:rsidR="001D23C8" w:rsidRPr="00E35A4D" w:rsidRDefault="001D23C8" w:rsidP="001D23C8">
            <w:pPr>
              <w:rPr>
                <w:sz w:val="24"/>
                <w:szCs w:val="24"/>
              </w:rPr>
            </w:pPr>
            <w:r w:rsidRPr="00E35A4D">
              <w:rPr>
                <w:sz w:val="24"/>
                <w:szCs w:val="24"/>
              </w:rPr>
              <w:t>Oral arm: 1g cephalexin orally QID for 10 days (or clinda 450 TID x 10d, if they had ß- lactam hypersensitivity)</w:t>
            </w:r>
          </w:p>
          <w:p w14:paraId="6467070D" w14:textId="77777777" w:rsidR="001D23C8" w:rsidRPr="00E35A4D" w:rsidRDefault="001D23C8" w:rsidP="001D23C8">
            <w:pPr>
              <w:rPr>
                <w:sz w:val="24"/>
                <w:szCs w:val="24"/>
              </w:rPr>
            </w:pPr>
          </w:p>
          <w:p w14:paraId="5F8678C1" w14:textId="77777777" w:rsidR="003546FB" w:rsidRPr="00E35A4D" w:rsidRDefault="001D23C8" w:rsidP="00522018">
            <w:pPr>
              <w:rPr>
                <w:rFonts w:eastAsia="Heiti SC" w:cs="Heiti SC"/>
                <w:sz w:val="24"/>
                <w:szCs w:val="24"/>
              </w:rPr>
            </w:pPr>
            <w:r w:rsidRPr="00E35A4D">
              <w:rPr>
                <w:sz w:val="24"/>
                <w:szCs w:val="24"/>
              </w:rPr>
              <w:t>Parenteral arm: 2g cefazolin IV Q12 (or clinda 450mg IV Q8 if they had ß- lactam hypersensitivity). These abx were continued until the area of cellulitis</w:t>
            </w:r>
            <w:r w:rsidRPr="00E35A4D">
              <w:rPr>
                <w:b/>
                <w:sz w:val="24"/>
                <w:szCs w:val="24"/>
              </w:rPr>
              <w:t xml:space="preserve"> was no longer progressing and the patient was afebrile. </w:t>
            </w:r>
            <w:r w:rsidRPr="00E35A4D">
              <w:rPr>
                <w:sz w:val="24"/>
                <w:szCs w:val="24"/>
              </w:rPr>
              <w:t xml:space="preserve">Then they received oral abx as above for a total duration (IV + PO duration) of 10 days. </w:t>
            </w:r>
          </w:p>
          <w:p w14:paraId="0D261CFC" w14:textId="77777777" w:rsidR="003546FB" w:rsidRPr="00E35A4D" w:rsidRDefault="003546FB" w:rsidP="00522018">
            <w:pPr>
              <w:rPr>
                <w:b/>
                <w:sz w:val="24"/>
                <w:szCs w:val="24"/>
              </w:rPr>
            </w:pPr>
          </w:p>
          <w:p w14:paraId="0A329BD5" w14:textId="77777777" w:rsidR="00F2690E" w:rsidRPr="00E35A4D" w:rsidRDefault="00F2690E" w:rsidP="00522018">
            <w:pPr>
              <w:rPr>
                <w:b/>
                <w:sz w:val="24"/>
                <w:szCs w:val="24"/>
              </w:rPr>
            </w:pPr>
          </w:p>
          <w:p w14:paraId="5290FB44" w14:textId="77777777" w:rsidR="00F2690E" w:rsidRPr="00E35A4D" w:rsidRDefault="00F2690E" w:rsidP="00522018">
            <w:pPr>
              <w:rPr>
                <w:b/>
                <w:sz w:val="24"/>
                <w:szCs w:val="24"/>
              </w:rPr>
            </w:pPr>
          </w:p>
          <w:p w14:paraId="1F044515" w14:textId="77777777" w:rsidR="00F2690E" w:rsidRPr="00E35A4D" w:rsidRDefault="00F2690E" w:rsidP="00522018">
            <w:pPr>
              <w:rPr>
                <w:b/>
                <w:sz w:val="24"/>
                <w:szCs w:val="24"/>
              </w:rPr>
            </w:pPr>
          </w:p>
          <w:p w14:paraId="01DB0742" w14:textId="77777777" w:rsidR="00F2690E" w:rsidRDefault="00F2690E" w:rsidP="00522018">
            <w:pPr>
              <w:rPr>
                <w:b/>
                <w:sz w:val="24"/>
                <w:szCs w:val="24"/>
              </w:rPr>
            </w:pPr>
          </w:p>
          <w:p w14:paraId="7B804F78" w14:textId="77777777" w:rsidR="00E35A4D" w:rsidRPr="00E35A4D" w:rsidRDefault="00E35A4D" w:rsidP="00522018">
            <w:pPr>
              <w:rPr>
                <w:b/>
                <w:sz w:val="24"/>
                <w:szCs w:val="24"/>
              </w:rPr>
            </w:pPr>
          </w:p>
          <w:p w14:paraId="44D367B1" w14:textId="77777777" w:rsidR="00F2690E" w:rsidRPr="00E35A4D" w:rsidRDefault="00F2690E" w:rsidP="00522018">
            <w:pPr>
              <w:rPr>
                <w:b/>
                <w:sz w:val="24"/>
                <w:szCs w:val="24"/>
              </w:rPr>
            </w:pPr>
          </w:p>
        </w:tc>
      </w:tr>
      <w:tr w:rsidR="003546FB" w:rsidRPr="00E35A4D" w14:paraId="6467595B" w14:textId="77777777" w:rsidTr="004966C0">
        <w:tc>
          <w:tcPr>
            <w:tcW w:w="10908" w:type="dxa"/>
          </w:tcPr>
          <w:p w14:paraId="48F43B3D" w14:textId="77777777" w:rsidR="000B3592" w:rsidRPr="00E35A4D" w:rsidRDefault="003546FB" w:rsidP="00522018">
            <w:pPr>
              <w:rPr>
                <w:b/>
                <w:sz w:val="24"/>
                <w:szCs w:val="24"/>
              </w:rPr>
            </w:pPr>
            <w:r w:rsidRPr="00E35A4D">
              <w:rPr>
                <w:b/>
                <w:sz w:val="24"/>
                <w:szCs w:val="24"/>
              </w:rPr>
              <w:lastRenderedPageBreak/>
              <w:t>Study Groups:</w:t>
            </w:r>
          </w:p>
          <w:p w14:paraId="5C916BCD" w14:textId="77777777" w:rsidR="003546FB" w:rsidRPr="00E35A4D" w:rsidRDefault="000B3592" w:rsidP="00522018">
            <w:pPr>
              <w:rPr>
                <w:sz w:val="24"/>
                <w:szCs w:val="24"/>
              </w:rPr>
            </w:pPr>
            <w:r w:rsidRPr="00E35A4D">
              <w:rPr>
                <w:sz w:val="24"/>
                <w:szCs w:val="24"/>
              </w:rPr>
              <w:t>Randomized 1:1 in 4 block schedule to either oral or parenteral treatment arms.</w:t>
            </w:r>
          </w:p>
          <w:p w14:paraId="218FDC02" w14:textId="77777777" w:rsidR="00F2690E" w:rsidRPr="00E35A4D" w:rsidRDefault="00F2690E" w:rsidP="00522018">
            <w:pPr>
              <w:rPr>
                <w:sz w:val="24"/>
                <w:szCs w:val="24"/>
              </w:rPr>
            </w:pPr>
          </w:p>
          <w:p w14:paraId="51E16CBE" w14:textId="77777777" w:rsidR="000B3592" w:rsidRPr="00E35A4D" w:rsidRDefault="000B3592" w:rsidP="00522018">
            <w:pPr>
              <w:rPr>
                <w:sz w:val="24"/>
                <w:szCs w:val="24"/>
              </w:rPr>
            </w:pPr>
            <w:r w:rsidRPr="00E35A4D">
              <w:rPr>
                <w:sz w:val="24"/>
                <w:szCs w:val="24"/>
              </w:rPr>
              <w:t xml:space="preserve">There were also some patients that were treated as inpatients, while others were treated with outpatient parenteral antimicrobial therapy (OPAT) via the “hospital in the home” program. </w:t>
            </w:r>
          </w:p>
          <w:p w14:paraId="2BB0328B" w14:textId="77777777" w:rsidR="00F2690E" w:rsidRPr="00E35A4D" w:rsidRDefault="00F2690E" w:rsidP="00522018">
            <w:pPr>
              <w:rPr>
                <w:sz w:val="24"/>
                <w:szCs w:val="24"/>
              </w:rPr>
            </w:pPr>
          </w:p>
          <w:p w14:paraId="4AB20D2C" w14:textId="77777777" w:rsidR="000B3592" w:rsidRPr="00E35A4D" w:rsidRDefault="000B3592" w:rsidP="00522018">
            <w:pPr>
              <w:rPr>
                <w:sz w:val="24"/>
                <w:szCs w:val="24"/>
              </w:rPr>
            </w:pPr>
            <w:r w:rsidRPr="00E35A4D">
              <w:rPr>
                <w:sz w:val="24"/>
                <w:szCs w:val="24"/>
              </w:rPr>
              <w:t>Location of treatment determined as per standard hospital protocols</w:t>
            </w:r>
            <w:r w:rsidR="00F2690E" w:rsidRPr="00E35A4D">
              <w:rPr>
                <w:sz w:val="24"/>
                <w:szCs w:val="24"/>
              </w:rPr>
              <w:t xml:space="preserve"> (they were admitted if there were other medical problems going on besides the cellulitis, otherwise they went home).</w:t>
            </w:r>
          </w:p>
          <w:p w14:paraId="5015839F" w14:textId="78E89196" w:rsidR="00F2690E" w:rsidRPr="00E35A4D" w:rsidRDefault="00F2690E" w:rsidP="00522018">
            <w:pPr>
              <w:rPr>
                <w:sz w:val="24"/>
                <w:szCs w:val="24"/>
              </w:rPr>
            </w:pPr>
          </w:p>
        </w:tc>
      </w:tr>
      <w:tr w:rsidR="003546FB" w:rsidRPr="00E35A4D" w14:paraId="285ADC75" w14:textId="77777777" w:rsidTr="004966C0">
        <w:tc>
          <w:tcPr>
            <w:tcW w:w="10908" w:type="dxa"/>
          </w:tcPr>
          <w:p w14:paraId="6BDBD5CB" w14:textId="77777777" w:rsidR="003546FB" w:rsidRPr="00E35A4D" w:rsidRDefault="003546FB" w:rsidP="00522018">
            <w:pPr>
              <w:rPr>
                <w:b/>
                <w:sz w:val="24"/>
                <w:szCs w:val="24"/>
              </w:rPr>
            </w:pPr>
            <w:r w:rsidRPr="00E35A4D">
              <w:rPr>
                <w:b/>
                <w:sz w:val="24"/>
                <w:szCs w:val="24"/>
              </w:rPr>
              <w:t>Instruments/Measures Used:</w:t>
            </w:r>
          </w:p>
          <w:p w14:paraId="6BA5AF80" w14:textId="77777777" w:rsidR="003546FB" w:rsidRPr="00E35A4D" w:rsidRDefault="000B3592" w:rsidP="000B3592">
            <w:pPr>
              <w:rPr>
                <w:sz w:val="24"/>
                <w:szCs w:val="24"/>
              </w:rPr>
            </w:pPr>
            <w:r w:rsidRPr="00E35A4D">
              <w:rPr>
                <w:sz w:val="24"/>
                <w:szCs w:val="24"/>
              </w:rPr>
              <w:t>-Measurement of cellulitis area but drawing the outline and measuring the maximum diameter, assessed daily</w:t>
            </w:r>
          </w:p>
          <w:p w14:paraId="4E4AAAEC" w14:textId="77777777" w:rsidR="000B3592" w:rsidRPr="00E35A4D" w:rsidRDefault="000B3592" w:rsidP="00522018">
            <w:pPr>
              <w:rPr>
                <w:sz w:val="24"/>
                <w:szCs w:val="24"/>
              </w:rPr>
            </w:pPr>
            <w:r w:rsidRPr="00E35A4D">
              <w:rPr>
                <w:sz w:val="24"/>
                <w:szCs w:val="24"/>
              </w:rPr>
              <w:t>-Pain assessed with visual analogue scale, range 0-10</w:t>
            </w:r>
          </w:p>
          <w:p w14:paraId="218C0F74" w14:textId="77777777" w:rsidR="000B3592" w:rsidRPr="00E35A4D" w:rsidRDefault="000B3592" w:rsidP="00522018">
            <w:pPr>
              <w:rPr>
                <w:sz w:val="24"/>
                <w:szCs w:val="24"/>
              </w:rPr>
            </w:pPr>
            <w:r w:rsidRPr="00E35A4D">
              <w:rPr>
                <w:sz w:val="24"/>
                <w:szCs w:val="24"/>
              </w:rPr>
              <w:t>-Patient medication diary for oral antibiotics</w:t>
            </w:r>
          </w:p>
          <w:p w14:paraId="1539A850" w14:textId="77777777" w:rsidR="000B3592" w:rsidRPr="00E35A4D" w:rsidRDefault="000B3592" w:rsidP="00522018">
            <w:pPr>
              <w:rPr>
                <w:sz w:val="24"/>
                <w:szCs w:val="24"/>
              </w:rPr>
            </w:pPr>
            <w:r w:rsidRPr="00E35A4D">
              <w:rPr>
                <w:sz w:val="24"/>
                <w:szCs w:val="24"/>
              </w:rPr>
              <w:t>-Satisfaction survey</w:t>
            </w:r>
          </w:p>
          <w:p w14:paraId="34186EAE" w14:textId="77777777" w:rsidR="003546FB" w:rsidRPr="00E35A4D" w:rsidRDefault="003546FB" w:rsidP="00522018">
            <w:pPr>
              <w:rPr>
                <w:b/>
                <w:sz w:val="24"/>
                <w:szCs w:val="24"/>
              </w:rPr>
            </w:pPr>
          </w:p>
        </w:tc>
      </w:tr>
      <w:tr w:rsidR="003546FB" w:rsidRPr="00E35A4D" w14:paraId="7CB7DED6" w14:textId="77777777" w:rsidTr="004966C0">
        <w:tc>
          <w:tcPr>
            <w:tcW w:w="10908" w:type="dxa"/>
          </w:tcPr>
          <w:p w14:paraId="40C846C7" w14:textId="77777777" w:rsidR="003546FB" w:rsidRPr="00E35A4D" w:rsidRDefault="003546FB" w:rsidP="00522018">
            <w:pPr>
              <w:rPr>
                <w:sz w:val="24"/>
                <w:szCs w:val="24"/>
              </w:rPr>
            </w:pPr>
            <w:r w:rsidRPr="00E35A4D">
              <w:rPr>
                <w:b/>
                <w:sz w:val="24"/>
                <w:szCs w:val="24"/>
              </w:rPr>
              <w:t>Data Collection:</w:t>
            </w:r>
          </w:p>
          <w:p w14:paraId="5E5004B3" w14:textId="3CEAA3ED" w:rsidR="003546FB" w:rsidRPr="00E35A4D" w:rsidRDefault="00C770ED" w:rsidP="00522018">
            <w:pPr>
              <w:rPr>
                <w:sz w:val="24"/>
                <w:szCs w:val="24"/>
              </w:rPr>
            </w:pPr>
            <w:r w:rsidRPr="00E35A4D">
              <w:rPr>
                <w:sz w:val="24"/>
                <w:szCs w:val="24"/>
              </w:rPr>
              <w:t>Completed by study nurses who had undergone training and calibration.</w:t>
            </w:r>
          </w:p>
          <w:p w14:paraId="3ED14103" w14:textId="77777777" w:rsidR="003546FB" w:rsidRPr="00E35A4D" w:rsidRDefault="003546FB" w:rsidP="00522018">
            <w:pPr>
              <w:rPr>
                <w:b/>
                <w:sz w:val="24"/>
                <w:szCs w:val="24"/>
              </w:rPr>
            </w:pPr>
          </w:p>
        </w:tc>
      </w:tr>
      <w:tr w:rsidR="003546FB" w:rsidRPr="00E35A4D" w14:paraId="2C30FD77" w14:textId="77777777" w:rsidTr="004966C0">
        <w:tc>
          <w:tcPr>
            <w:tcW w:w="10908" w:type="dxa"/>
          </w:tcPr>
          <w:p w14:paraId="34ECB446" w14:textId="79A070DE" w:rsidR="003546FB" w:rsidRPr="00E35A4D" w:rsidRDefault="003546FB" w:rsidP="00522018">
            <w:pPr>
              <w:rPr>
                <w:b/>
                <w:sz w:val="24"/>
                <w:szCs w:val="24"/>
              </w:rPr>
            </w:pPr>
            <w:r w:rsidRPr="00E35A4D">
              <w:rPr>
                <w:b/>
                <w:sz w:val="24"/>
                <w:szCs w:val="24"/>
              </w:rPr>
              <w:t>Data Analysis:</w:t>
            </w:r>
          </w:p>
          <w:p w14:paraId="77CCB712" w14:textId="77777777" w:rsidR="003546FB" w:rsidRPr="00E35A4D" w:rsidRDefault="003546FB" w:rsidP="00522018">
            <w:pPr>
              <w:rPr>
                <w:b/>
                <w:i/>
                <w:sz w:val="24"/>
                <w:szCs w:val="24"/>
              </w:rPr>
            </w:pPr>
          </w:p>
          <w:p w14:paraId="03981EFC" w14:textId="20B48C2D" w:rsidR="003546FB" w:rsidRPr="00E35A4D" w:rsidRDefault="003546FB" w:rsidP="00522018">
            <w:pPr>
              <w:rPr>
                <w:sz w:val="24"/>
                <w:szCs w:val="24"/>
              </w:rPr>
            </w:pPr>
            <w:r w:rsidRPr="00E35A4D">
              <w:rPr>
                <w:b/>
                <w:i/>
                <w:sz w:val="24"/>
                <w:szCs w:val="24"/>
              </w:rPr>
              <w:t>A priori</w:t>
            </w:r>
            <w:r w:rsidRPr="00E35A4D">
              <w:rPr>
                <w:b/>
                <w:sz w:val="24"/>
                <w:szCs w:val="24"/>
              </w:rPr>
              <w:t xml:space="preserve"> sample size calculation? </w:t>
            </w:r>
            <w:r w:rsidR="00C770ED" w:rsidRPr="00E35A4D">
              <w:rPr>
                <w:sz w:val="24"/>
                <w:szCs w:val="24"/>
              </w:rPr>
              <w:fldChar w:fldCharType="begin">
                <w:ffData>
                  <w:name w:val=""/>
                  <w:enabled/>
                  <w:calcOnExit w:val="0"/>
                  <w:checkBox>
                    <w:size w:val="20"/>
                    <w:default w:val="1"/>
                  </w:checkBox>
                </w:ffData>
              </w:fldChar>
            </w:r>
            <w:r w:rsidR="00C770ED" w:rsidRPr="00E35A4D">
              <w:rPr>
                <w:sz w:val="24"/>
                <w:szCs w:val="24"/>
              </w:rPr>
              <w:instrText xml:space="preserve"> FORMCHECKBOX </w:instrText>
            </w:r>
            <w:r w:rsidR="00F64A14">
              <w:rPr>
                <w:sz w:val="24"/>
                <w:szCs w:val="24"/>
              </w:rPr>
            </w:r>
            <w:r w:rsidR="00F64A14">
              <w:rPr>
                <w:sz w:val="24"/>
                <w:szCs w:val="24"/>
              </w:rPr>
              <w:fldChar w:fldCharType="separate"/>
            </w:r>
            <w:r w:rsidR="00C770ED" w:rsidRPr="00E35A4D">
              <w:rPr>
                <w:sz w:val="24"/>
                <w:szCs w:val="24"/>
              </w:rPr>
              <w:fldChar w:fldCharType="end"/>
            </w:r>
            <w:r w:rsidRPr="00E35A4D">
              <w:rPr>
                <w:sz w:val="24"/>
                <w:szCs w:val="24"/>
              </w:rPr>
              <w:t xml:space="preserve">  </w:t>
            </w:r>
            <w:r w:rsidRPr="00E35A4D">
              <w:rPr>
                <w:b/>
                <w:sz w:val="24"/>
                <w:szCs w:val="24"/>
              </w:rPr>
              <w:t>Yes</w:t>
            </w:r>
            <w:r w:rsidRPr="00E35A4D">
              <w:rPr>
                <w:sz w:val="24"/>
                <w:szCs w:val="24"/>
              </w:rPr>
              <w:t xml:space="preserve">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No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Not Described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N/A</w:t>
            </w:r>
          </w:p>
          <w:p w14:paraId="7DE95D52" w14:textId="77777777" w:rsidR="003546FB" w:rsidRPr="00E35A4D" w:rsidRDefault="003546FB" w:rsidP="00522018">
            <w:pPr>
              <w:rPr>
                <w:b/>
                <w:sz w:val="24"/>
                <w:szCs w:val="24"/>
              </w:rPr>
            </w:pPr>
          </w:p>
          <w:p w14:paraId="288F951A" w14:textId="03990332" w:rsidR="00C770ED" w:rsidRPr="00E35A4D" w:rsidRDefault="00C770ED" w:rsidP="00522018">
            <w:pPr>
              <w:rPr>
                <w:sz w:val="24"/>
                <w:szCs w:val="24"/>
              </w:rPr>
            </w:pPr>
            <w:r w:rsidRPr="00E35A4D">
              <w:rPr>
                <w:sz w:val="24"/>
                <w:szCs w:val="24"/>
              </w:rPr>
              <w:t xml:space="preserve">Yes, but don’t incorrectly first. </w:t>
            </w:r>
            <w:r w:rsidR="006372D7" w:rsidRPr="00E35A4D">
              <w:rPr>
                <w:sz w:val="24"/>
                <w:szCs w:val="24"/>
              </w:rPr>
              <w:t xml:space="preserve">Initial pre-recruitment calculation with sample size of 58 was later found to be “based on incorrect assumptions”. Revised calculation was made prior to interim examination of results for safety and monitoring committee. </w:t>
            </w:r>
          </w:p>
          <w:p w14:paraId="1B9C91A4" w14:textId="77777777" w:rsidR="00733402" w:rsidRPr="00E35A4D" w:rsidRDefault="00733402" w:rsidP="00522018">
            <w:pPr>
              <w:rPr>
                <w:b/>
                <w:sz w:val="24"/>
                <w:szCs w:val="24"/>
              </w:rPr>
            </w:pPr>
            <w:r w:rsidRPr="00E35A4D">
              <w:rPr>
                <w:b/>
                <w:sz w:val="24"/>
                <w:szCs w:val="24"/>
              </w:rPr>
              <w:br/>
              <w:t xml:space="preserve">This was to find non-inferiority defined as: </w:t>
            </w:r>
          </w:p>
          <w:p w14:paraId="540D9811" w14:textId="46D884F1" w:rsidR="00C770ED" w:rsidRPr="00E35A4D" w:rsidRDefault="00733402" w:rsidP="00522018">
            <w:pPr>
              <w:rPr>
                <w:sz w:val="24"/>
                <w:szCs w:val="24"/>
              </w:rPr>
            </w:pPr>
            <w:r w:rsidRPr="00E35A4D">
              <w:rPr>
                <w:sz w:val="24"/>
                <w:szCs w:val="24"/>
              </w:rPr>
              <w:t>The upper limit of the 95% CI in the oral arm being less than +15% of the mean value in the parenteral arm</w:t>
            </w:r>
          </w:p>
          <w:p w14:paraId="6F2E98FC" w14:textId="77777777" w:rsidR="00733402" w:rsidRPr="00E35A4D" w:rsidRDefault="00733402" w:rsidP="00522018">
            <w:pPr>
              <w:rPr>
                <w:b/>
                <w:sz w:val="24"/>
                <w:szCs w:val="24"/>
              </w:rPr>
            </w:pPr>
          </w:p>
          <w:p w14:paraId="7CAE0055" w14:textId="77777777" w:rsidR="003546FB" w:rsidRPr="00E35A4D" w:rsidRDefault="003546FB" w:rsidP="00522018">
            <w:pPr>
              <w:rPr>
                <w:sz w:val="24"/>
                <w:szCs w:val="24"/>
              </w:rPr>
            </w:pPr>
            <w:r w:rsidRPr="00E35A4D">
              <w:rPr>
                <w:b/>
                <w:sz w:val="24"/>
                <w:szCs w:val="24"/>
              </w:rPr>
              <w:t>Statistical analyses used:</w:t>
            </w:r>
          </w:p>
          <w:p w14:paraId="3A4FAC4C" w14:textId="74845D18" w:rsidR="003546FB" w:rsidRPr="00E35A4D" w:rsidRDefault="006372D7" w:rsidP="00522018">
            <w:pPr>
              <w:rPr>
                <w:sz w:val="24"/>
                <w:szCs w:val="24"/>
              </w:rPr>
            </w:pPr>
            <w:r w:rsidRPr="00E35A4D">
              <w:rPr>
                <w:sz w:val="24"/>
                <w:szCs w:val="24"/>
              </w:rPr>
              <w:t>-Mann-Whitney test for the primary outcome</w:t>
            </w:r>
          </w:p>
          <w:p w14:paraId="201C4C63" w14:textId="14F46286" w:rsidR="006372D7" w:rsidRPr="00E35A4D" w:rsidRDefault="006372D7" w:rsidP="00522018">
            <w:pPr>
              <w:rPr>
                <w:sz w:val="24"/>
                <w:szCs w:val="24"/>
              </w:rPr>
            </w:pPr>
            <w:r w:rsidRPr="00E35A4D">
              <w:rPr>
                <w:sz w:val="24"/>
                <w:szCs w:val="24"/>
              </w:rPr>
              <w:t>-X</w:t>
            </w:r>
            <w:r w:rsidRPr="00E35A4D">
              <w:rPr>
                <w:sz w:val="24"/>
                <w:szCs w:val="24"/>
                <w:vertAlign w:val="superscript"/>
              </w:rPr>
              <w:t>2</w:t>
            </w:r>
            <w:r w:rsidRPr="00E35A4D">
              <w:rPr>
                <w:sz w:val="24"/>
                <w:szCs w:val="24"/>
              </w:rPr>
              <w:t xml:space="preserve"> and Fisher’s exact test used for contingency tables</w:t>
            </w:r>
          </w:p>
          <w:p w14:paraId="7E746B71" w14:textId="77777777" w:rsidR="006372D7" w:rsidRPr="00E35A4D" w:rsidRDefault="006372D7" w:rsidP="00522018">
            <w:pPr>
              <w:rPr>
                <w:sz w:val="24"/>
                <w:szCs w:val="24"/>
              </w:rPr>
            </w:pPr>
            <w:r w:rsidRPr="00E35A4D">
              <w:rPr>
                <w:sz w:val="24"/>
                <w:szCs w:val="24"/>
              </w:rPr>
              <w:t>-all two-tailed with &lt;0.05 used as P value of significance</w:t>
            </w:r>
          </w:p>
          <w:p w14:paraId="534ADA2A" w14:textId="77777777" w:rsidR="006372D7" w:rsidRPr="00E35A4D" w:rsidRDefault="006372D7" w:rsidP="00522018">
            <w:pPr>
              <w:rPr>
                <w:rFonts w:eastAsia="Heiti SC" w:cs="Heiti SC"/>
                <w:sz w:val="24"/>
                <w:szCs w:val="24"/>
              </w:rPr>
            </w:pPr>
          </w:p>
          <w:p w14:paraId="1D91BD59" w14:textId="1835699A" w:rsidR="003546FB" w:rsidRPr="00E35A4D" w:rsidRDefault="003546FB" w:rsidP="003546FB">
            <w:pPr>
              <w:rPr>
                <w:sz w:val="24"/>
                <w:szCs w:val="24"/>
              </w:rPr>
            </w:pPr>
            <w:r w:rsidRPr="00E35A4D">
              <w:rPr>
                <w:b/>
                <w:sz w:val="24"/>
                <w:szCs w:val="24"/>
              </w:rPr>
              <w:t xml:space="preserve">Adjustment for potential confounders?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Yes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No   </w:t>
            </w:r>
            <w:r w:rsidR="006372D7" w:rsidRPr="00E35A4D">
              <w:rPr>
                <w:sz w:val="24"/>
                <w:szCs w:val="24"/>
              </w:rPr>
              <w:fldChar w:fldCharType="begin">
                <w:ffData>
                  <w:name w:val=""/>
                  <w:enabled/>
                  <w:calcOnExit w:val="0"/>
                  <w:checkBox>
                    <w:size w:val="20"/>
                    <w:default w:val="1"/>
                  </w:checkBox>
                </w:ffData>
              </w:fldChar>
            </w:r>
            <w:r w:rsidR="006372D7" w:rsidRPr="00E35A4D">
              <w:rPr>
                <w:sz w:val="24"/>
                <w:szCs w:val="24"/>
              </w:rPr>
              <w:instrText xml:space="preserve"> FORMCHECKBOX </w:instrText>
            </w:r>
            <w:r w:rsidR="00F64A14">
              <w:rPr>
                <w:sz w:val="24"/>
                <w:szCs w:val="24"/>
              </w:rPr>
            </w:r>
            <w:r w:rsidR="00F64A14">
              <w:rPr>
                <w:sz w:val="24"/>
                <w:szCs w:val="24"/>
              </w:rPr>
              <w:fldChar w:fldCharType="separate"/>
            </w:r>
            <w:r w:rsidR="006372D7" w:rsidRPr="00E35A4D">
              <w:rPr>
                <w:sz w:val="24"/>
                <w:szCs w:val="24"/>
              </w:rPr>
              <w:fldChar w:fldCharType="end"/>
            </w:r>
            <w:r w:rsidRPr="00E35A4D">
              <w:rPr>
                <w:sz w:val="24"/>
                <w:szCs w:val="24"/>
              </w:rPr>
              <w:t xml:space="preserve">  Not Described  </w:t>
            </w: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 xml:space="preserve">  N/A</w:t>
            </w:r>
          </w:p>
          <w:p w14:paraId="7B19BBB9" w14:textId="77777777" w:rsidR="003546FB" w:rsidRPr="00E35A4D" w:rsidRDefault="003546FB" w:rsidP="00522018">
            <w:pPr>
              <w:rPr>
                <w:b/>
                <w:sz w:val="24"/>
                <w:szCs w:val="24"/>
              </w:rPr>
            </w:pPr>
            <w:r w:rsidRPr="00E35A4D">
              <w:rPr>
                <w:b/>
                <w:sz w:val="24"/>
                <w:szCs w:val="24"/>
              </w:rPr>
              <w:t xml:space="preserve">     If yes, list:</w:t>
            </w:r>
          </w:p>
          <w:p w14:paraId="2543917C" w14:textId="77777777" w:rsidR="003546FB" w:rsidRPr="00E35A4D" w:rsidRDefault="003546FB" w:rsidP="00522018">
            <w:pPr>
              <w:rPr>
                <w:b/>
                <w:sz w:val="24"/>
                <w:szCs w:val="24"/>
              </w:rPr>
            </w:pPr>
          </w:p>
        </w:tc>
      </w:tr>
    </w:tbl>
    <w:p w14:paraId="6E7899A4" w14:textId="77777777" w:rsidR="00522018" w:rsidRPr="00E35A4D" w:rsidRDefault="00522018" w:rsidP="00F6518F">
      <w:pPr>
        <w:rPr>
          <w:sz w:val="24"/>
          <w:szCs w:val="24"/>
        </w:rPr>
      </w:pPr>
    </w:p>
    <w:tbl>
      <w:tblPr>
        <w:tblStyle w:val="TableGrid"/>
        <w:tblW w:w="0" w:type="auto"/>
        <w:tblLook w:val="04A0" w:firstRow="1" w:lastRow="0" w:firstColumn="1" w:lastColumn="0" w:noHBand="0" w:noVBand="1"/>
      </w:tblPr>
      <w:tblGrid>
        <w:gridCol w:w="10908"/>
      </w:tblGrid>
      <w:tr w:rsidR="002173CC" w:rsidRPr="00E35A4D" w14:paraId="75FDECC8" w14:textId="77777777" w:rsidTr="004966C0">
        <w:tc>
          <w:tcPr>
            <w:tcW w:w="10908" w:type="dxa"/>
            <w:shd w:val="clear" w:color="auto" w:fill="D9D9D9" w:themeFill="background1" w:themeFillShade="D9"/>
          </w:tcPr>
          <w:p w14:paraId="23AB197F" w14:textId="77777777" w:rsidR="002173CC" w:rsidRPr="00E35A4D" w:rsidRDefault="002173CC" w:rsidP="002173CC">
            <w:pPr>
              <w:jc w:val="center"/>
              <w:rPr>
                <w:b/>
                <w:sz w:val="24"/>
                <w:szCs w:val="24"/>
              </w:rPr>
            </w:pPr>
            <w:r w:rsidRPr="00E35A4D">
              <w:rPr>
                <w:b/>
                <w:sz w:val="24"/>
                <w:szCs w:val="24"/>
              </w:rPr>
              <w:t>Results</w:t>
            </w:r>
          </w:p>
        </w:tc>
      </w:tr>
      <w:tr w:rsidR="00D67AD5" w:rsidRPr="00E35A4D" w14:paraId="030A4795" w14:textId="77777777" w:rsidTr="004966C0">
        <w:tc>
          <w:tcPr>
            <w:tcW w:w="10908" w:type="dxa"/>
          </w:tcPr>
          <w:p w14:paraId="2971B815" w14:textId="3C14B112" w:rsidR="00D67AD5" w:rsidRPr="00E35A4D" w:rsidRDefault="00D67AD5" w:rsidP="00F6518F">
            <w:pPr>
              <w:rPr>
                <w:b/>
                <w:sz w:val="24"/>
                <w:szCs w:val="24"/>
              </w:rPr>
            </w:pPr>
            <w:r w:rsidRPr="00E35A4D">
              <w:rPr>
                <w:b/>
                <w:sz w:val="24"/>
                <w:szCs w:val="24"/>
              </w:rPr>
              <w:t>Study participants:</w:t>
            </w:r>
          </w:p>
          <w:p w14:paraId="0AAFC830" w14:textId="16F64DB6" w:rsidR="00D67AD5" w:rsidRPr="00E35A4D" w:rsidRDefault="006372D7" w:rsidP="00F6518F">
            <w:pPr>
              <w:rPr>
                <w:sz w:val="24"/>
                <w:szCs w:val="24"/>
              </w:rPr>
            </w:pPr>
            <w:r w:rsidRPr="00E35A4D">
              <w:rPr>
                <w:sz w:val="24"/>
                <w:szCs w:val="24"/>
              </w:rPr>
              <w:t>-47 patients enrolled: 23 in parenteral arm, 24 in oral arm</w:t>
            </w:r>
          </w:p>
          <w:p w14:paraId="0FBE6A07" w14:textId="00D9D051" w:rsidR="006372D7" w:rsidRPr="00E35A4D" w:rsidRDefault="006372D7" w:rsidP="00F6518F">
            <w:pPr>
              <w:rPr>
                <w:sz w:val="24"/>
                <w:szCs w:val="24"/>
              </w:rPr>
            </w:pPr>
            <w:r w:rsidRPr="00E35A4D">
              <w:rPr>
                <w:sz w:val="24"/>
                <w:szCs w:val="24"/>
              </w:rPr>
              <w:t>-1 patient from the parenteral group had treatment failure on day 3 and was lost to follow up after day 7</w:t>
            </w:r>
          </w:p>
          <w:p w14:paraId="39138C59" w14:textId="77777777" w:rsidR="006372D7" w:rsidRPr="00E35A4D" w:rsidRDefault="006372D7" w:rsidP="00F6518F">
            <w:pPr>
              <w:rPr>
                <w:sz w:val="24"/>
                <w:szCs w:val="24"/>
              </w:rPr>
            </w:pPr>
            <w:r w:rsidRPr="00E35A4D">
              <w:rPr>
                <w:sz w:val="24"/>
                <w:szCs w:val="24"/>
              </w:rPr>
              <w:t>-1 patient in oral group had only 50% of the dose given</w:t>
            </w:r>
          </w:p>
          <w:p w14:paraId="335CFE03" w14:textId="17C488C0" w:rsidR="00D67AD5" w:rsidRPr="00E35A4D" w:rsidRDefault="00DC6BEB" w:rsidP="00F6518F">
            <w:pPr>
              <w:rPr>
                <w:sz w:val="24"/>
                <w:szCs w:val="24"/>
              </w:rPr>
            </w:pPr>
            <w:r w:rsidRPr="00E35A4D">
              <w:rPr>
                <w:sz w:val="24"/>
                <w:szCs w:val="24"/>
              </w:rPr>
              <w:t>-1 patient (oral arm) ended up needing clindamycin after hypersensitivity reaction (at 5 days)</w:t>
            </w:r>
          </w:p>
          <w:p w14:paraId="11897D34" w14:textId="77777777" w:rsidR="00D725F0" w:rsidRPr="00E35A4D" w:rsidRDefault="00D725F0" w:rsidP="00F6518F">
            <w:pPr>
              <w:rPr>
                <w:b/>
                <w:sz w:val="24"/>
                <w:szCs w:val="24"/>
              </w:rPr>
            </w:pPr>
          </w:p>
          <w:p w14:paraId="4663F066" w14:textId="77777777" w:rsidR="00D725F0" w:rsidRPr="00E35A4D" w:rsidRDefault="00D725F0" w:rsidP="00F6518F">
            <w:pPr>
              <w:rPr>
                <w:b/>
                <w:sz w:val="24"/>
                <w:szCs w:val="24"/>
              </w:rPr>
            </w:pPr>
          </w:p>
        </w:tc>
      </w:tr>
      <w:tr w:rsidR="002173CC" w:rsidRPr="00E35A4D" w14:paraId="1580EC16" w14:textId="77777777" w:rsidTr="004966C0">
        <w:tc>
          <w:tcPr>
            <w:tcW w:w="10908" w:type="dxa"/>
          </w:tcPr>
          <w:p w14:paraId="3C68E064" w14:textId="7E9C48E2" w:rsidR="002173CC" w:rsidRPr="00E35A4D" w:rsidRDefault="002173CC" w:rsidP="00F6518F">
            <w:pPr>
              <w:rPr>
                <w:b/>
                <w:sz w:val="24"/>
                <w:szCs w:val="24"/>
              </w:rPr>
            </w:pPr>
            <w:r w:rsidRPr="00E35A4D">
              <w:rPr>
                <w:b/>
                <w:sz w:val="24"/>
                <w:szCs w:val="24"/>
              </w:rPr>
              <w:lastRenderedPageBreak/>
              <w:t xml:space="preserve">Brief answers to research questions </w:t>
            </w:r>
            <w:r w:rsidRPr="00E35A4D">
              <w:rPr>
                <w:b/>
                <w:i/>
                <w:sz w:val="24"/>
                <w:szCs w:val="24"/>
              </w:rPr>
              <w:t>[key findings]:</w:t>
            </w:r>
          </w:p>
          <w:p w14:paraId="1E753E30" w14:textId="77777777" w:rsidR="002173CC" w:rsidRPr="00E35A4D" w:rsidRDefault="002173CC" w:rsidP="00F6518F">
            <w:pPr>
              <w:rPr>
                <w:sz w:val="24"/>
                <w:szCs w:val="24"/>
              </w:rPr>
            </w:pPr>
          </w:p>
          <w:p w14:paraId="12DF8A76" w14:textId="02E3B34A" w:rsidR="002173CC" w:rsidRPr="00E35A4D" w:rsidRDefault="00733402" w:rsidP="00F6518F">
            <w:pPr>
              <w:rPr>
                <w:sz w:val="24"/>
                <w:szCs w:val="24"/>
              </w:rPr>
            </w:pPr>
            <w:r w:rsidRPr="00E35A4D">
              <w:rPr>
                <w:sz w:val="24"/>
                <w:szCs w:val="24"/>
              </w:rPr>
              <w:t>Mean days of advancement of cellulitis:</w:t>
            </w:r>
          </w:p>
          <w:p w14:paraId="7461D10E" w14:textId="77777777" w:rsidR="00733402" w:rsidRPr="00E35A4D" w:rsidRDefault="00733402" w:rsidP="00F6518F">
            <w:pPr>
              <w:rPr>
                <w:sz w:val="24"/>
                <w:szCs w:val="24"/>
              </w:rPr>
            </w:pPr>
            <w:r w:rsidRPr="00E35A4D">
              <w:rPr>
                <w:sz w:val="24"/>
                <w:szCs w:val="24"/>
              </w:rPr>
              <w:t>1.29 for oral</w:t>
            </w:r>
          </w:p>
          <w:p w14:paraId="34BD49A0" w14:textId="77777777" w:rsidR="00733402" w:rsidRPr="00E35A4D" w:rsidRDefault="00733402" w:rsidP="00F6518F">
            <w:pPr>
              <w:rPr>
                <w:sz w:val="24"/>
                <w:szCs w:val="24"/>
              </w:rPr>
            </w:pPr>
            <w:r w:rsidRPr="00E35A4D">
              <w:rPr>
                <w:sz w:val="24"/>
                <w:szCs w:val="24"/>
              </w:rPr>
              <w:t>1.78 parenteral</w:t>
            </w:r>
          </w:p>
          <w:p w14:paraId="0B2047A9" w14:textId="77777777" w:rsidR="00733402" w:rsidRPr="00E35A4D" w:rsidRDefault="00733402" w:rsidP="00F6518F">
            <w:pPr>
              <w:rPr>
                <w:sz w:val="24"/>
                <w:szCs w:val="24"/>
              </w:rPr>
            </w:pPr>
          </w:p>
          <w:p w14:paraId="25775744" w14:textId="77777777" w:rsidR="00733402" w:rsidRPr="00E35A4D" w:rsidRDefault="00733402" w:rsidP="00F6518F">
            <w:pPr>
              <w:rPr>
                <w:sz w:val="24"/>
                <w:szCs w:val="24"/>
              </w:rPr>
            </w:pPr>
            <w:r w:rsidRPr="00E35A4D">
              <w:rPr>
                <w:sz w:val="24"/>
                <w:szCs w:val="24"/>
              </w:rPr>
              <w:t>Mean difference of -0.49 (95% CI -1.02 to +0.04)</w:t>
            </w:r>
          </w:p>
          <w:p w14:paraId="6AA7EDAC" w14:textId="7F3FAC8F" w:rsidR="00D34EFA" w:rsidRPr="00E35A4D" w:rsidRDefault="00733402" w:rsidP="00D34EFA">
            <w:pPr>
              <w:rPr>
                <w:sz w:val="24"/>
                <w:szCs w:val="24"/>
              </w:rPr>
            </w:pPr>
            <w:r w:rsidRPr="00E35A4D">
              <w:rPr>
                <w:sz w:val="24"/>
                <w:szCs w:val="24"/>
              </w:rPr>
              <w:t xml:space="preserve">+0.04 (the upper limit) was below the specified non-inferiority margin at +15% </w:t>
            </w:r>
            <w:r w:rsidR="00D34EFA" w:rsidRPr="00E35A4D">
              <w:rPr>
                <w:sz w:val="24"/>
                <w:szCs w:val="24"/>
              </w:rPr>
              <w:t>(+0.27 days)</w:t>
            </w:r>
          </w:p>
          <w:p w14:paraId="48CBE85A" w14:textId="77777777" w:rsidR="00D34EFA" w:rsidRPr="00E35A4D" w:rsidRDefault="00D34EFA" w:rsidP="00D34EFA">
            <w:pPr>
              <w:rPr>
                <w:sz w:val="24"/>
                <w:szCs w:val="24"/>
              </w:rPr>
            </w:pPr>
          </w:p>
          <w:p w14:paraId="4CA4F0BA" w14:textId="1D8D6519" w:rsidR="00D34EFA" w:rsidRPr="00E35A4D" w:rsidRDefault="00D34EFA" w:rsidP="00D34EFA">
            <w:pPr>
              <w:rPr>
                <w:sz w:val="24"/>
                <w:szCs w:val="24"/>
              </w:rPr>
            </w:pPr>
            <w:r w:rsidRPr="00E35A4D">
              <w:rPr>
                <w:sz w:val="24"/>
                <w:szCs w:val="24"/>
              </w:rPr>
              <w:t>So the upper limit of the CI for the oral arm was not more than 15% greater than the mean for the parenteral arm indicating that the oral treatment was non-inferior to parenteral treatment.</w:t>
            </w:r>
          </w:p>
          <w:p w14:paraId="49906492" w14:textId="77777777" w:rsidR="00D67AD5" w:rsidRPr="00E35A4D" w:rsidRDefault="00D67AD5" w:rsidP="00F6518F">
            <w:pPr>
              <w:rPr>
                <w:sz w:val="24"/>
                <w:szCs w:val="24"/>
              </w:rPr>
            </w:pPr>
          </w:p>
          <w:p w14:paraId="436F0789" w14:textId="77777777" w:rsidR="002173CC" w:rsidRPr="00E35A4D" w:rsidRDefault="002173CC" w:rsidP="00F6518F">
            <w:pPr>
              <w:rPr>
                <w:sz w:val="24"/>
                <w:szCs w:val="24"/>
              </w:rPr>
            </w:pPr>
          </w:p>
        </w:tc>
      </w:tr>
      <w:tr w:rsidR="002173CC" w:rsidRPr="00E35A4D" w14:paraId="536A0C4A" w14:textId="77777777" w:rsidTr="004966C0">
        <w:tc>
          <w:tcPr>
            <w:tcW w:w="10908" w:type="dxa"/>
          </w:tcPr>
          <w:p w14:paraId="0DEDCF41" w14:textId="5275A01D" w:rsidR="002173CC" w:rsidRPr="00E35A4D" w:rsidRDefault="002173CC" w:rsidP="00F6518F">
            <w:pPr>
              <w:rPr>
                <w:b/>
                <w:sz w:val="24"/>
                <w:szCs w:val="24"/>
              </w:rPr>
            </w:pPr>
            <w:r w:rsidRPr="00E35A4D">
              <w:rPr>
                <w:b/>
                <w:sz w:val="24"/>
                <w:szCs w:val="24"/>
              </w:rPr>
              <w:t>Additional findings:</w:t>
            </w:r>
          </w:p>
          <w:p w14:paraId="546C43C7" w14:textId="79C488F4" w:rsidR="00D34EFA" w:rsidRPr="00E35A4D" w:rsidRDefault="00D34EFA" w:rsidP="00F6518F">
            <w:pPr>
              <w:rPr>
                <w:sz w:val="24"/>
                <w:szCs w:val="24"/>
              </w:rPr>
            </w:pPr>
            <w:r w:rsidRPr="00E35A4D">
              <w:rPr>
                <w:sz w:val="24"/>
                <w:szCs w:val="24"/>
              </w:rPr>
              <w:t>-Rate of failure was higher in parenteral arm (5/23) vs oral (1/24), significant P=0.10</w:t>
            </w:r>
          </w:p>
          <w:p w14:paraId="051D5C96" w14:textId="3FE2E308" w:rsidR="00D34EFA" w:rsidRPr="00E35A4D" w:rsidRDefault="00D34EFA" w:rsidP="00F6518F">
            <w:pPr>
              <w:rPr>
                <w:sz w:val="24"/>
                <w:szCs w:val="24"/>
              </w:rPr>
            </w:pPr>
            <w:r w:rsidRPr="00E35A4D">
              <w:rPr>
                <w:sz w:val="24"/>
                <w:szCs w:val="24"/>
              </w:rPr>
              <w:t>-Pain on day 1 was higher in oral group. Parenteral (2.8) vs oral (4.8), significant with P=0.03</w:t>
            </w:r>
          </w:p>
          <w:p w14:paraId="0B069C3D" w14:textId="5C0EAC8A" w:rsidR="00D34EFA" w:rsidRPr="00E35A4D" w:rsidRDefault="00D34EFA" w:rsidP="00F6518F">
            <w:pPr>
              <w:rPr>
                <w:sz w:val="24"/>
                <w:szCs w:val="24"/>
              </w:rPr>
            </w:pPr>
            <w:r w:rsidRPr="00E35A4D">
              <w:rPr>
                <w:sz w:val="24"/>
                <w:szCs w:val="24"/>
              </w:rPr>
              <w:t xml:space="preserve">     -however baseline pain in oral group was higher and decreased similarly to IV group</w:t>
            </w:r>
          </w:p>
          <w:p w14:paraId="60E25A8C" w14:textId="4ABFB48D" w:rsidR="002173CC" w:rsidRPr="00E35A4D" w:rsidRDefault="00D34EFA" w:rsidP="00F6518F">
            <w:pPr>
              <w:rPr>
                <w:sz w:val="24"/>
                <w:szCs w:val="24"/>
              </w:rPr>
            </w:pPr>
            <w:r w:rsidRPr="00E35A4D">
              <w:rPr>
                <w:sz w:val="24"/>
                <w:szCs w:val="24"/>
              </w:rPr>
              <w:t>-complications of treatment: 32% parenteral vs 29% oral, P=0.85</w:t>
            </w:r>
          </w:p>
          <w:p w14:paraId="377E741E" w14:textId="611CE2B9" w:rsidR="00D34EFA" w:rsidRPr="00E35A4D" w:rsidRDefault="007D6ED1" w:rsidP="00F6518F">
            <w:pPr>
              <w:rPr>
                <w:sz w:val="24"/>
                <w:szCs w:val="24"/>
              </w:rPr>
            </w:pPr>
            <w:r w:rsidRPr="00E35A4D">
              <w:rPr>
                <w:sz w:val="24"/>
                <w:szCs w:val="24"/>
              </w:rPr>
              <w:t>-similar satisfaction scores</w:t>
            </w:r>
            <w:r w:rsidR="00924BDF" w:rsidRPr="00E35A4D">
              <w:rPr>
                <w:sz w:val="24"/>
                <w:szCs w:val="24"/>
              </w:rPr>
              <w:t>: 3.7 parenteral vs 3.9 oral</w:t>
            </w:r>
          </w:p>
          <w:p w14:paraId="66B89CF3" w14:textId="77777777" w:rsidR="002173CC" w:rsidRPr="00E35A4D" w:rsidRDefault="002173CC" w:rsidP="00F6518F">
            <w:pPr>
              <w:rPr>
                <w:sz w:val="24"/>
                <w:szCs w:val="24"/>
              </w:rPr>
            </w:pPr>
          </w:p>
        </w:tc>
      </w:tr>
      <w:tr w:rsidR="002173CC" w:rsidRPr="00E35A4D" w14:paraId="0B5B8D9A" w14:textId="77777777" w:rsidTr="004966C0">
        <w:tc>
          <w:tcPr>
            <w:tcW w:w="10908" w:type="dxa"/>
          </w:tcPr>
          <w:p w14:paraId="26664FF2" w14:textId="77777777" w:rsidR="002173CC" w:rsidRPr="00E35A4D" w:rsidRDefault="002173CC" w:rsidP="00F6518F">
            <w:pPr>
              <w:rPr>
                <w:b/>
                <w:sz w:val="24"/>
                <w:szCs w:val="24"/>
              </w:rPr>
            </w:pPr>
            <w:r w:rsidRPr="00E35A4D">
              <w:rPr>
                <w:b/>
                <w:sz w:val="24"/>
                <w:szCs w:val="24"/>
              </w:rPr>
              <w:t>Limitations:</w:t>
            </w:r>
          </w:p>
          <w:p w14:paraId="75D4E80D" w14:textId="77777777" w:rsidR="00246D83" w:rsidRPr="00E35A4D" w:rsidRDefault="00246D83" w:rsidP="00246D83">
            <w:pPr>
              <w:pStyle w:val="ListParagraph"/>
              <w:numPr>
                <w:ilvl w:val="0"/>
                <w:numId w:val="3"/>
              </w:numPr>
              <w:rPr>
                <w:sz w:val="24"/>
                <w:szCs w:val="24"/>
              </w:rPr>
            </w:pPr>
            <w:r w:rsidRPr="00E35A4D">
              <w:rPr>
                <w:sz w:val="24"/>
                <w:szCs w:val="24"/>
              </w:rPr>
              <w:t>VERY Small, single centered</w:t>
            </w:r>
          </w:p>
          <w:p w14:paraId="03D71F81" w14:textId="77777777" w:rsidR="00246D83" w:rsidRPr="00E35A4D" w:rsidRDefault="00246D83" w:rsidP="00246D83">
            <w:pPr>
              <w:pStyle w:val="ListParagraph"/>
              <w:numPr>
                <w:ilvl w:val="0"/>
                <w:numId w:val="3"/>
              </w:numPr>
              <w:rPr>
                <w:sz w:val="24"/>
                <w:szCs w:val="24"/>
              </w:rPr>
            </w:pPr>
            <w:r w:rsidRPr="00E35A4D">
              <w:rPr>
                <w:sz w:val="24"/>
                <w:szCs w:val="24"/>
              </w:rPr>
              <w:t>not a blinded study</w:t>
            </w:r>
          </w:p>
          <w:p w14:paraId="6EE0572D" w14:textId="54715674" w:rsidR="00246D83" w:rsidRPr="00E35A4D" w:rsidRDefault="00246D83" w:rsidP="00246D83">
            <w:pPr>
              <w:pStyle w:val="ListParagraph"/>
              <w:numPr>
                <w:ilvl w:val="0"/>
                <w:numId w:val="3"/>
              </w:numPr>
              <w:rPr>
                <w:sz w:val="24"/>
                <w:szCs w:val="24"/>
              </w:rPr>
            </w:pPr>
            <w:r w:rsidRPr="00E35A4D">
              <w:rPr>
                <w:sz w:val="24"/>
                <w:szCs w:val="24"/>
              </w:rPr>
              <w:t>primary outcome not the most patient-centered outcome (maybe useful as a surrogate for when these patients would be discharged if they were inpatients?)</w:t>
            </w:r>
          </w:p>
          <w:p w14:paraId="2F7D45D8" w14:textId="77777777" w:rsidR="00246D83" w:rsidRPr="00E35A4D" w:rsidRDefault="00246D83" w:rsidP="00246D83">
            <w:pPr>
              <w:pStyle w:val="ListParagraph"/>
              <w:numPr>
                <w:ilvl w:val="0"/>
                <w:numId w:val="3"/>
              </w:numPr>
              <w:rPr>
                <w:sz w:val="24"/>
                <w:szCs w:val="24"/>
              </w:rPr>
            </w:pPr>
            <w:r w:rsidRPr="00E35A4D">
              <w:rPr>
                <w:sz w:val="24"/>
                <w:szCs w:val="24"/>
              </w:rPr>
              <w:t>not powered to evaluate treatment failure</w:t>
            </w:r>
          </w:p>
          <w:p w14:paraId="73ED49E8" w14:textId="6026C4F7" w:rsidR="00246D83" w:rsidRPr="00E35A4D" w:rsidRDefault="00246D83" w:rsidP="00246D83">
            <w:pPr>
              <w:pStyle w:val="ListParagraph"/>
              <w:numPr>
                <w:ilvl w:val="0"/>
                <w:numId w:val="3"/>
              </w:numPr>
              <w:rPr>
                <w:sz w:val="24"/>
                <w:szCs w:val="24"/>
              </w:rPr>
            </w:pPr>
            <w:r w:rsidRPr="00E35A4D">
              <w:rPr>
                <w:sz w:val="24"/>
                <w:szCs w:val="24"/>
              </w:rPr>
              <w:t>no description of the antibiotics patients were on before enrollment</w:t>
            </w:r>
          </w:p>
          <w:p w14:paraId="71392C55" w14:textId="2BE83B89" w:rsidR="00246D83" w:rsidRPr="00E35A4D" w:rsidRDefault="00246D83" w:rsidP="00246D83">
            <w:pPr>
              <w:pStyle w:val="ListParagraph"/>
              <w:numPr>
                <w:ilvl w:val="0"/>
                <w:numId w:val="3"/>
              </w:numPr>
              <w:rPr>
                <w:sz w:val="24"/>
                <w:szCs w:val="24"/>
              </w:rPr>
            </w:pPr>
            <w:r w:rsidRPr="00E35A4D">
              <w:rPr>
                <w:sz w:val="24"/>
                <w:szCs w:val="24"/>
              </w:rPr>
              <w:t>No separate analysis for outcomes of first presentation of cellulitis vs “failed outpatient treatment” (which made up almost 50% of the enrolled patients) (11/24 in the oral group and 9/23 in the parenteral group)</w:t>
            </w:r>
          </w:p>
          <w:p w14:paraId="3966BE2D" w14:textId="25EDDB34" w:rsidR="00246D83" w:rsidRPr="00E35A4D" w:rsidRDefault="00246D83" w:rsidP="00246D83">
            <w:pPr>
              <w:pStyle w:val="ListParagraph"/>
              <w:numPr>
                <w:ilvl w:val="0"/>
                <w:numId w:val="3"/>
              </w:numPr>
              <w:rPr>
                <w:sz w:val="24"/>
                <w:szCs w:val="24"/>
              </w:rPr>
            </w:pPr>
            <w:r w:rsidRPr="00E35A4D">
              <w:rPr>
                <w:sz w:val="24"/>
                <w:szCs w:val="24"/>
              </w:rPr>
              <w:t xml:space="preserve">the oral arm trending towards less treatment failures, though not statistically significant, doesn’t pass the sniff test, makes me wonder if this study is just too small to draw conclusions from, or that the OPAT is too far from what we do here as to make these results applicable </w:t>
            </w:r>
          </w:p>
          <w:p w14:paraId="359AA395" w14:textId="77777777" w:rsidR="00246D83" w:rsidRPr="00E35A4D" w:rsidRDefault="00246D83" w:rsidP="00246D83">
            <w:pPr>
              <w:pStyle w:val="ListParagraph"/>
              <w:numPr>
                <w:ilvl w:val="0"/>
                <w:numId w:val="3"/>
              </w:numPr>
              <w:rPr>
                <w:sz w:val="24"/>
                <w:szCs w:val="24"/>
              </w:rPr>
            </w:pPr>
            <w:r w:rsidRPr="00E35A4D">
              <w:rPr>
                <w:sz w:val="24"/>
                <w:szCs w:val="24"/>
              </w:rPr>
              <w:t>exclusion criteria included oral abx for greater than 48 hours, which gives a very narrow window for a “failed treatment” of oral antibiotics, however this does seem to be consistent with other literature on cellulitis</w:t>
            </w:r>
          </w:p>
          <w:p w14:paraId="2E556AAB" w14:textId="77777777" w:rsidR="005953C6" w:rsidRPr="00E35A4D" w:rsidRDefault="005953C6" w:rsidP="005953C6">
            <w:pPr>
              <w:pStyle w:val="ListParagraph"/>
              <w:rPr>
                <w:sz w:val="24"/>
                <w:szCs w:val="24"/>
              </w:rPr>
            </w:pPr>
          </w:p>
          <w:p w14:paraId="7869BBEE" w14:textId="1906B99B" w:rsidR="002173CC" w:rsidRPr="00E35A4D" w:rsidRDefault="009A14EE" w:rsidP="009A14EE">
            <w:pPr>
              <w:tabs>
                <w:tab w:val="left" w:pos="1860"/>
              </w:tabs>
              <w:rPr>
                <w:sz w:val="24"/>
                <w:szCs w:val="24"/>
              </w:rPr>
            </w:pPr>
            <w:r w:rsidRPr="00E35A4D">
              <w:rPr>
                <w:sz w:val="24"/>
                <w:szCs w:val="24"/>
              </w:rPr>
              <w:tab/>
            </w:r>
          </w:p>
        </w:tc>
      </w:tr>
    </w:tbl>
    <w:p w14:paraId="52541566" w14:textId="77777777" w:rsidR="002173CC" w:rsidRPr="00E35A4D" w:rsidRDefault="002173CC" w:rsidP="00F6518F">
      <w:pPr>
        <w:rPr>
          <w:sz w:val="24"/>
          <w:szCs w:val="24"/>
        </w:rPr>
      </w:pPr>
    </w:p>
    <w:p w14:paraId="30FF14C9" w14:textId="77777777" w:rsidR="00246D83" w:rsidRPr="00E35A4D" w:rsidRDefault="00246D83" w:rsidP="00F6518F">
      <w:pPr>
        <w:rPr>
          <w:sz w:val="24"/>
          <w:szCs w:val="24"/>
        </w:rPr>
      </w:pPr>
    </w:p>
    <w:p w14:paraId="44CD3404" w14:textId="77777777" w:rsidR="00246D83" w:rsidRPr="00E35A4D" w:rsidRDefault="00246D83" w:rsidP="00F6518F">
      <w:pPr>
        <w:rPr>
          <w:sz w:val="24"/>
          <w:szCs w:val="24"/>
        </w:rPr>
      </w:pPr>
    </w:p>
    <w:tbl>
      <w:tblPr>
        <w:tblStyle w:val="TableGrid"/>
        <w:tblW w:w="0" w:type="auto"/>
        <w:tblLook w:val="04A0" w:firstRow="1" w:lastRow="0" w:firstColumn="1" w:lastColumn="0" w:noHBand="0" w:noVBand="1"/>
      </w:tblPr>
      <w:tblGrid>
        <w:gridCol w:w="10908"/>
      </w:tblGrid>
      <w:tr w:rsidR="002173CC" w:rsidRPr="00E35A4D" w14:paraId="07B06F0F" w14:textId="77777777" w:rsidTr="004966C0">
        <w:tc>
          <w:tcPr>
            <w:tcW w:w="10908" w:type="dxa"/>
            <w:shd w:val="clear" w:color="auto" w:fill="D9D9D9" w:themeFill="background1" w:themeFillShade="D9"/>
          </w:tcPr>
          <w:p w14:paraId="7EC5DCB1" w14:textId="77777777" w:rsidR="002173CC" w:rsidRPr="00E35A4D" w:rsidRDefault="002173CC" w:rsidP="002173CC">
            <w:pPr>
              <w:jc w:val="center"/>
              <w:rPr>
                <w:b/>
                <w:sz w:val="24"/>
                <w:szCs w:val="24"/>
              </w:rPr>
            </w:pPr>
            <w:r w:rsidRPr="00E35A4D">
              <w:rPr>
                <w:b/>
                <w:sz w:val="24"/>
                <w:szCs w:val="24"/>
              </w:rPr>
              <w:lastRenderedPageBreak/>
              <w:t>Clinical Implications</w:t>
            </w:r>
          </w:p>
        </w:tc>
      </w:tr>
      <w:tr w:rsidR="002173CC" w:rsidRPr="00E35A4D" w14:paraId="56830EAE" w14:textId="77777777" w:rsidTr="004966C0">
        <w:tc>
          <w:tcPr>
            <w:tcW w:w="10908" w:type="dxa"/>
          </w:tcPr>
          <w:p w14:paraId="303958F2" w14:textId="4CB5C2AD" w:rsidR="009A14EE" w:rsidRPr="00E35A4D" w:rsidRDefault="002173CC" w:rsidP="009A14EE">
            <w:pPr>
              <w:rPr>
                <w:sz w:val="24"/>
                <w:szCs w:val="24"/>
              </w:rPr>
            </w:pPr>
            <w:r w:rsidRPr="00E35A4D">
              <w:rPr>
                <w:b/>
                <w:sz w:val="24"/>
                <w:szCs w:val="24"/>
              </w:rPr>
              <w:t>Applicable?</w:t>
            </w:r>
            <w:r w:rsidR="009A14EE" w:rsidRPr="00E35A4D">
              <w:rPr>
                <w:b/>
                <w:sz w:val="24"/>
                <w:szCs w:val="24"/>
              </w:rPr>
              <w:t xml:space="preserve"> </w:t>
            </w:r>
            <w:r w:rsidR="009A14EE" w:rsidRPr="00E35A4D">
              <w:rPr>
                <w:sz w:val="24"/>
                <w:szCs w:val="24"/>
              </w:rPr>
              <w:t>Maybe… It was out of the emerg</w:t>
            </w:r>
            <w:r w:rsidR="00925274" w:rsidRPr="00E35A4D">
              <w:rPr>
                <w:sz w:val="24"/>
                <w:szCs w:val="24"/>
              </w:rPr>
              <w:t xml:space="preserve">ency </w:t>
            </w:r>
            <w:r w:rsidR="002D60A9" w:rsidRPr="00E35A4D">
              <w:rPr>
                <w:sz w:val="24"/>
                <w:szCs w:val="24"/>
              </w:rPr>
              <w:t>department, which</w:t>
            </w:r>
            <w:r w:rsidR="00925274" w:rsidRPr="00E35A4D">
              <w:rPr>
                <w:sz w:val="24"/>
                <w:szCs w:val="24"/>
              </w:rPr>
              <w:t xml:space="preserve"> is great. The author states that </w:t>
            </w:r>
            <w:r w:rsidR="009A14EE" w:rsidRPr="00E35A4D">
              <w:rPr>
                <w:sz w:val="24"/>
                <w:szCs w:val="24"/>
              </w:rPr>
              <w:t xml:space="preserve">they have very low rates of CA-MRSA in Australia. </w:t>
            </w:r>
            <w:r w:rsidR="00925274" w:rsidRPr="00E35A4D">
              <w:rPr>
                <w:sz w:val="24"/>
                <w:szCs w:val="24"/>
              </w:rPr>
              <w:t xml:space="preserve">If this is true, it is certainly different than here, or at least the general perception of MRSA prevalence here and therefore common practice patterns. </w:t>
            </w:r>
            <w:r w:rsidR="009A14EE" w:rsidRPr="00E35A4D">
              <w:rPr>
                <w:sz w:val="24"/>
                <w:szCs w:val="24"/>
              </w:rPr>
              <w:t xml:space="preserve">None of these patients were on abx directed against MRSA. One of the first things we seem to do in “treatment failure” here is broaden to abx against MRSA (If they aren’t already on them). However, our patient’s are so often started on something with MRSA coverage to begin with (doxy or bactrim), that this issue might not be that relevant and </w:t>
            </w:r>
            <w:r w:rsidR="00E17ABB" w:rsidRPr="00E35A4D">
              <w:rPr>
                <w:sz w:val="24"/>
                <w:szCs w:val="24"/>
              </w:rPr>
              <w:t>these</w:t>
            </w:r>
            <w:r w:rsidR="009A14EE" w:rsidRPr="00E35A4D">
              <w:rPr>
                <w:sz w:val="24"/>
                <w:szCs w:val="24"/>
              </w:rPr>
              <w:t xml:space="preserve"> data may still be applicable. </w:t>
            </w:r>
          </w:p>
          <w:p w14:paraId="76228EDA" w14:textId="77777777" w:rsidR="005953C6" w:rsidRPr="00E35A4D" w:rsidRDefault="005953C6" w:rsidP="009A14EE">
            <w:pPr>
              <w:rPr>
                <w:sz w:val="24"/>
                <w:szCs w:val="24"/>
              </w:rPr>
            </w:pPr>
          </w:p>
          <w:p w14:paraId="26CF39E8" w14:textId="1BE4F4EC" w:rsidR="005953C6" w:rsidRPr="00E35A4D" w:rsidRDefault="00925274" w:rsidP="009A14EE">
            <w:pPr>
              <w:rPr>
                <w:sz w:val="24"/>
                <w:szCs w:val="24"/>
              </w:rPr>
            </w:pPr>
            <w:r w:rsidRPr="00E35A4D">
              <w:rPr>
                <w:sz w:val="24"/>
                <w:szCs w:val="24"/>
              </w:rPr>
              <w:t>The biggest difference, however, is that</w:t>
            </w:r>
            <w:r w:rsidR="005953C6" w:rsidRPr="00E35A4D">
              <w:rPr>
                <w:sz w:val="24"/>
                <w:szCs w:val="24"/>
              </w:rPr>
              <w:t xml:space="preserve"> most of these patients were treated as outpatients regardless of the arm, which is very different from here. </w:t>
            </w:r>
          </w:p>
          <w:p w14:paraId="16A15690" w14:textId="71284058" w:rsidR="002173CC" w:rsidRPr="00E35A4D" w:rsidRDefault="002173CC" w:rsidP="00F6518F">
            <w:pPr>
              <w:rPr>
                <w:b/>
                <w:sz w:val="24"/>
                <w:szCs w:val="24"/>
              </w:rPr>
            </w:pPr>
          </w:p>
          <w:p w14:paraId="46828A0F" w14:textId="1B10177F" w:rsidR="002173CC" w:rsidRPr="00E35A4D" w:rsidRDefault="002173CC" w:rsidP="00F6518F">
            <w:pPr>
              <w:rPr>
                <w:sz w:val="24"/>
                <w:szCs w:val="24"/>
              </w:rPr>
            </w:pPr>
            <w:r w:rsidRPr="00E35A4D">
              <w:rPr>
                <w:b/>
                <w:sz w:val="24"/>
                <w:szCs w:val="24"/>
              </w:rPr>
              <w:t>Feasible?</w:t>
            </w:r>
            <w:r w:rsidR="009A14EE" w:rsidRPr="00E35A4D">
              <w:rPr>
                <w:b/>
                <w:sz w:val="24"/>
                <w:szCs w:val="24"/>
              </w:rPr>
              <w:t xml:space="preserve"> </w:t>
            </w:r>
            <w:r w:rsidR="009A14EE" w:rsidRPr="00E35A4D">
              <w:rPr>
                <w:sz w:val="24"/>
                <w:szCs w:val="24"/>
              </w:rPr>
              <w:t>It would certainly be feasible to start discharging this subset of patients with continued oral abx if more robust data can support this hypothesis.</w:t>
            </w:r>
          </w:p>
          <w:p w14:paraId="53621A6F" w14:textId="77777777" w:rsidR="009A14EE" w:rsidRPr="00E35A4D" w:rsidRDefault="009A14EE" w:rsidP="00F6518F">
            <w:pPr>
              <w:rPr>
                <w:b/>
                <w:sz w:val="24"/>
                <w:szCs w:val="24"/>
              </w:rPr>
            </w:pPr>
          </w:p>
          <w:p w14:paraId="18F740B0" w14:textId="637A1574" w:rsidR="002173CC" w:rsidRPr="00E35A4D" w:rsidRDefault="002173CC" w:rsidP="00F6518F">
            <w:pPr>
              <w:rPr>
                <w:b/>
                <w:sz w:val="24"/>
                <w:szCs w:val="24"/>
              </w:rPr>
            </w:pPr>
            <w:r w:rsidRPr="00E35A4D">
              <w:rPr>
                <w:b/>
                <w:sz w:val="24"/>
                <w:szCs w:val="24"/>
              </w:rPr>
              <w:t>Clinically relevant?</w:t>
            </w:r>
            <w:r w:rsidR="009A14EE" w:rsidRPr="00E35A4D">
              <w:rPr>
                <w:b/>
                <w:sz w:val="24"/>
                <w:szCs w:val="24"/>
              </w:rPr>
              <w:t xml:space="preserve"> </w:t>
            </w:r>
            <w:r w:rsidR="009A14EE" w:rsidRPr="00E35A4D">
              <w:rPr>
                <w:sz w:val="24"/>
                <w:szCs w:val="24"/>
              </w:rPr>
              <w:t>Yes</w:t>
            </w:r>
          </w:p>
          <w:p w14:paraId="60794E3E" w14:textId="77777777" w:rsidR="00CD46BB" w:rsidRPr="00E35A4D" w:rsidRDefault="00CD46BB" w:rsidP="00F6518F">
            <w:pPr>
              <w:rPr>
                <w:b/>
                <w:sz w:val="24"/>
                <w:szCs w:val="24"/>
              </w:rPr>
            </w:pPr>
          </w:p>
          <w:p w14:paraId="56ACD7B1" w14:textId="5669B4BC" w:rsidR="009A14EE" w:rsidRPr="00E35A4D" w:rsidRDefault="004966C0" w:rsidP="009A14EE">
            <w:pPr>
              <w:rPr>
                <w:b/>
                <w:sz w:val="24"/>
                <w:szCs w:val="24"/>
              </w:rPr>
            </w:pPr>
            <w:r w:rsidRPr="00E35A4D">
              <w:rPr>
                <w:b/>
                <w:sz w:val="24"/>
                <w:szCs w:val="24"/>
              </w:rPr>
              <w:t>Comments:</w:t>
            </w:r>
            <w:r w:rsidR="009A14EE" w:rsidRPr="00E35A4D">
              <w:rPr>
                <w:b/>
                <w:sz w:val="24"/>
                <w:szCs w:val="24"/>
              </w:rPr>
              <w:t xml:space="preserve"> </w:t>
            </w:r>
            <w:r w:rsidR="009A14EE" w:rsidRPr="00E35A4D">
              <w:rPr>
                <w:sz w:val="24"/>
                <w:szCs w:val="24"/>
              </w:rPr>
              <w:t xml:space="preserve">The major takeaway I have from this article is that </w:t>
            </w:r>
            <w:r w:rsidR="003451C6" w:rsidRPr="00E35A4D">
              <w:rPr>
                <w:sz w:val="24"/>
                <w:szCs w:val="24"/>
              </w:rPr>
              <w:t xml:space="preserve">maybe </w:t>
            </w:r>
            <w:r w:rsidR="009A14EE" w:rsidRPr="00E35A4D">
              <w:rPr>
                <w:sz w:val="24"/>
                <w:szCs w:val="24"/>
              </w:rPr>
              <w:t xml:space="preserve">we are </w:t>
            </w:r>
            <w:r w:rsidR="003451C6" w:rsidRPr="00E35A4D">
              <w:rPr>
                <w:sz w:val="24"/>
                <w:szCs w:val="24"/>
              </w:rPr>
              <w:t xml:space="preserve">just </w:t>
            </w:r>
            <w:r w:rsidR="009A14EE" w:rsidRPr="00E35A4D">
              <w:rPr>
                <w:sz w:val="24"/>
                <w:szCs w:val="24"/>
              </w:rPr>
              <w:t>calling “failure” of outpatient oral abx treatment</w:t>
            </w:r>
            <w:r w:rsidR="003451C6" w:rsidRPr="00E35A4D">
              <w:rPr>
                <w:sz w:val="24"/>
                <w:szCs w:val="24"/>
              </w:rPr>
              <w:t xml:space="preserve"> too early. I assume that t</w:t>
            </w:r>
            <w:r w:rsidR="009A14EE" w:rsidRPr="00E35A4D">
              <w:rPr>
                <w:sz w:val="24"/>
                <w:szCs w:val="24"/>
              </w:rPr>
              <w:t xml:space="preserve">he patients in the oral arm were essentially continued on the same regimen (because there </w:t>
            </w:r>
            <w:r w:rsidR="00E17ABB" w:rsidRPr="00E35A4D">
              <w:rPr>
                <w:sz w:val="24"/>
                <w:szCs w:val="24"/>
              </w:rPr>
              <w:t>were</w:t>
            </w:r>
            <w:r w:rsidR="009A14EE" w:rsidRPr="00E35A4D">
              <w:rPr>
                <w:sz w:val="24"/>
                <w:szCs w:val="24"/>
              </w:rPr>
              <w:t xml:space="preserve"> no data on the original abx regimen) and eventually got better. IV or not, it appears a subset of patients just take longer for the erythematous area of cellulitis to stop spreading. While it is probably safe to continue these patients with just oral antibiotics, this very small, single-centered study was underpowered to inform us on the outcome we really care about: treatment failure.</w:t>
            </w:r>
          </w:p>
          <w:p w14:paraId="28BB841B" w14:textId="405D4F02" w:rsidR="004966C0" w:rsidRPr="00E35A4D" w:rsidRDefault="004966C0" w:rsidP="00F6518F">
            <w:pPr>
              <w:rPr>
                <w:b/>
                <w:sz w:val="24"/>
                <w:szCs w:val="24"/>
              </w:rPr>
            </w:pPr>
          </w:p>
          <w:p w14:paraId="3CC7C2A5" w14:textId="77777777" w:rsidR="002173CC" w:rsidRPr="00E35A4D" w:rsidRDefault="002173CC" w:rsidP="00F6518F">
            <w:pPr>
              <w:rPr>
                <w:sz w:val="24"/>
                <w:szCs w:val="24"/>
              </w:rPr>
            </w:pPr>
          </w:p>
        </w:tc>
      </w:tr>
      <w:tr w:rsidR="004966C0" w:rsidRPr="00E35A4D" w14:paraId="5F6BFD97" w14:textId="77777777" w:rsidTr="004966C0">
        <w:tc>
          <w:tcPr>
            <w:tcW w:w="10908" w:type="dxa"/>
            <w:shd w:val="clear" w:color="auto" w:fill="D9D9D9" w:themeFill="background1" w:themeFillShade="D9"/>
          </w:tcPr>
          <w:p w14:paraId="7CD701C6" w14:textId="77777777" w:rsidR="004966C0" w:rsidRPr="00E35A4D" w:rsidRDefault="004966C0" w:rsidP="004966C0">
            <w:pPr>
              <w:jc w:val="center"/>
              <w:rPr>
                <w:b/>
                <w:sz w:val="24"/>
                <w:szCs w:val="24"/>
              </w:rPr>
            </w:pPr>
            <w:r w:rsidRPr="00E35A4D">
              <w:rPr>
                <w:b/>
                <w:sz w:val="24"/>
                <w:szCs w:val="24"/>
              </w:rPr>
              <w:t>Level of evidence generated from this study</w:t>
            </w:r>
          </w:p>
        </w:tc>
      </w:tr>
      <w:tr w:rsidR="004966C0" w:rsidRPr="00E35A4D" w14:paraId="44B12F11" w14:textId="77777777" w:rsidTr="004966C0">
        <w:tc>
          <w:tcPr>
            <w:tcW w:w="10908" w:type="dxa"/>
          </w:tcPr>
          <w:p w14:paraId="4CEC8304" w14:textId="77777777" w:rsidR="004966C0" w:rsidRPr="00E35A4D" w:rsidRDefault="004966C0" w:rsidP="004966C0">
            <w:pPr>
              <w:rPr>
                <w:sz w:val="24"/>
                <w:szCs w:val="24"/>
              </w:rPr>
            </w:pPr>
          </w:p>
          <w:p w14:paraId="286AFF48" w14:textId="77777777" w:rsidR="004966C0" w:rsidRPr="00E35A4D" w:rsidRDefault="004966C0" w:rsidP="004966C0">
            <w:pPr>
              <w:rPr>
                <w:sz w:val="24"/>
                <w:szCs w:val="24"/>
              </w:rPr>
            </w:pP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Ia: evidence obtained from meta-analysis of randomized controlled trials</w:t>
            </w:r>
          </w:p>
          <w:p w14:paraId="2BD023EE" w14:textId="4B42BE2C" w:rsidR="004966C0" w:rsidRPr="00E35A4D" w:rsidRDefault="00FF554D" w:rsidP="004966C0">
            <w:pPr>
              <w:rPr>
                <w:sz w:val="24"/>
                <w:szCs w:val="24"/>
              </w:rPr>
            </w:pPr>
            <w:r w:rsidRPr="00E35A4D">
              <w:rPr>
                <w:sz w:val="24"/>
                <w:szCs w:val="24"/>
              </w:rPr>
              <w:fldChar w:fldCharType="begin">
                <w:ffData>
                  <w:name w:val=""/>
                  <w:enabled/>
                  <w:calcOnExit w:val="0"/>
                  <w:checkBox>
                    <w:size w:val="20"/>
                    <w:default w:val="1"/>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004966C0" w:rsidRPr="00E35A4D">
              <w:rPr>
                <w:sz w:val="24"/>
                <w:szCs w:val="24"/>
              </w:rPr>
              <w:t>Ib: evidence obtained from at least one randomized controlled trial</w:t>
            </w:r>
          </w:p>
          <w:p w14:paraId="6AFF32D5" w14:textId="77777777" w:rsidR="004966C0" w:rsidRPr="00E35A4D" w:rsidRDefault="004966C0" w:rsidP="004966C0">
            <w:pPr>
              <w:rPr>
                <w:sz w:val="24"/>
                <w:szCs w:val="24"/>
              </w:rPr>
            </w:pP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IIa: evidence obtained from at least one well-designed, controlled study without randomization</w:t>
            </w:r>
          </w:p>
          <w:p w14:paraId="5B4DF942" w14:textId="77777777" w:rsidR="004966C0" w:rsidRPr="00E35A4D" w:rsidRDefault="004966C0" w:rsidP="004966C0">
            <w:pPr>
              <w:rPr>
                <w:sz w:val="24"/>
                <w:szCs w:val="24"/>
              </w:rPr>
            </w:pP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IIb: evidence obtained from at least one other type of well-designed quasi-experimental study</w:t>
            </w:r>
          </w:p>
          <w:p w14:paraId="596037C2" w14:textId="77777777" w:rsidR="004966C0" w:rsidRPr="00E35A4D" w:rsidRDefault="004966C0" w:rsidP="004966C0">
            <w:pPr>
              <w:rPr>
                <w:sz w:val="24"/>
                <w:szCs w:val="24"/>
              </w:rPr>
            </w:pP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III: evidence obtained from a well-designed, non-experimental study</w:t>
            </w:r>
          </w:p>
          <w:p w14:paraId="5B480510" w14:textId="77777777" w:rsidR="004966C0" w:rsidRPr="00E35A4D" w:rsidRDefault="004966C0" w:rsidP="004966C0">
            <w:pPr>
              <w:rPr>
                <w:sz w:val="24"/>
                <w:szCs w:val="24"/>
              </w:rPr>
            </w:pPr>
            <w:r w:rsidRPr="00E35A4D">
              <w:rPr>
                <w:sz w:val="24"/>
                <w:szCs w:val="24"/>
              </w:rPr>
              <w:fldChar w:fldCharType="begin">
                <w:ffData>
                  <w:name w:val="Check1"/>
                  <w:enabled/>
                  <w:calcOnExit w:val="0"/>
                  <w:checkBox>
                    <w:sizeAuto/>
                    <w:default w:val="0"/>
                  </w:checkBox>
                </w:ffData>
              </w:fldChar>
            </w:r>
            <w:r w:rsidRPr="00E35A4D">
              <w:rPr>
                <w:sz w:val="24"/>
                <w:szCs w:val="24"/>
              </w:rPr>
              <w:instrText xml:space="preserve"> FORMCHECKBOX </w:instrText>
            </w:r>
            <w:r w:rsidR="00F64A14">
              <w:rPr>
                <w:sz w:val="24"/>
                <w:szCs w:val="24"/>
              </w:rPr>
            </w:r>
            <w:r w:rsidR="00F64A14">
              <w:rPr>
                <w:sz w:val="24"/>
                <w:szCs w:val="24"/>
              </w:rPr>
              <w:fldChar w:fldCharType="separate"/>
            </w:r>
            <w:r w:rsidRPr="00E35A4D">
              <w:rPr>
                <w:sz w:val="24"/>
                <w:szCs w:val="24"/>
              </w:rPr>
              <w:fldChar w:fldCharType="end"/>
            </w:r>
            <w:r w:rsidRPr="00E35A4D">
              <w:rPr>
                <w:sz w:val="24"/>
                <w:szCs w:val="24"/>
              </w:rPr>
              <w:t>IV: expert committee reports; expert opinion; case study; case report</w:t>
            </w:r>
          </w:p>
          <w:p w14:paraId="74F70CC1" w14:textId="77777777" w:rsidR="004966C0" w:rsidRPr="00E35A4D" w:rsidRDefault="004966C0" w:rsidP="004966C0">
            <w:pPr>
              <w:rPr>
                <w:sz w:val="24"/>
                <w:szCs w:val="24"/>
              </w:rPr>
            </w:pPr>
          </w:p>
        </w:tc>
      </w:tr>
    </w:tbl>
    <w:p w14:paraId="5C6768D4" w14:textId="77777777" w:rsidR="004966C0" w:rsidRPr="00E35A4D" w:rsidRDefault="004966C0" w:rsidP="00F6518F">
      <w:pPr>
        <w:rPr>
          <w:sz w:val="24"/>
          <w:szCs w:val="24"/>
        </w:rPr>
      </w:pPr>
    </w:p>
    <w:tbl>
      <w:tblPr>
        <w:tblStyle w:val="TableGrid"/>
        <w:tblW w:w="0" w:type="auto"/>
        <w:tblLook w:val="04A0" w:firstRow="1" w:lastRow="0" w:firstColumn="1" w:lastColumn="0" w:noHBand="0" w:noVBand="1"/>
      </w:tblPr>
      <w:tblGrid>
        <w:gridCol w:w="11016"/>
      </w:tblGrid>
      <w:tr w:rsidR="004966C0" w:rsidRPr="00E35A4D" w14:paraId="19FD2CA2" w14:textId="77777777" w:rsidTr="004966C0">
        <w:tc>
          <w:tcPr>
            <w:tcW w:w="11016" w:type="dxa"/>
            <w:shd w:val="clear" w:color="auto" w:fill="D9D9D9" w:themeFill="background1" w:themeFillShade="D9"/>
          </w:tcPr>
          <w:p w14:paraId="062D7C10" w14:textId="77777777" w:rsidR="004966C0" w:rsidRPr="00E35A4D" w:rsidRDefault="004966C0" w:rsidP="004966C0">
            <w:pPr>
              <w:jc w:val="center"/>
              <w:rPr>
                <w:b/>
                <w:sz w:val="24"/>
                <w:szCs w:val="24"/>
              </w:rPr>
            </w:pPr>
            <w:r w:rsidRPr="00E35A4D">
              <w:rPr>
                <w:b/>
                <w:sz w:val="24"/>
                <w:szCs w:val="24"/>
              </w:rPr>
              <w:t>Additional Comments/Discussion/Notes</w:t>
            </w:r>
          </w:p>
        </w:tc>
      </w:tr>
      <w:tr w:rsidR="004966C0" w:rsidRPr="00E35A4D" w14:paraId="0964F896" w14:textId="77777777" w:rsidTr="004966C0">
        <w:tc>
          <w:tcPr>
            <w:tcW w:w="11016" w:type="dxa"/>
          </w:tcPr>
          <w:p w14:paraId="20A60CE2" w14:textId="77777777" w:rsidR="004966C0" w:rsidRPr="00E35A4D" w:rsidRDefault="004966C0" w:rsidP="00F6518F">
            <w:pPr>
              <w:rPr>
                <w:sz w:val="24"/>
                <w:szCs w:val="24"/>
              </w:rPr>
            </w:pPr>
          </w:p>
          <w:p w14:paraId="1D48FF43" w14:textId="77777777" w:rsidR="004966C0" w:rsidRPr="00E35A4D" w:rsidRDefault="004966C0" w:rsidP="00F6518F">
            <w:pPr>
              <w:rPr>
                <w:sz w:val="24"/>
                <w:szCs w:val="24"/>
              </w:rPr>
            </w:pPr>
          </w:p>
          <w:p w14:paraId="147579EB" w14:textId="77777777" w:rsidR="004966C0" w:rsidRPr="00E35A4D" w:rsidRDefault="004966C0" w:rsidP="00F6518F">
            <w:pPr>
              <w:rPr>
                <w:sz w:val="24"/>
                <w:szCs w:val="24"/>
              </w:rPr>
            </w:pPr>
          </w:p>
          <w:p w14:paraId="79D2F845" w14:textId="77777777" w:rsidR="004966C0" w:rsidRPr="00E35A4D" w:rsidRDefault="004966C0" w:rsidP="00F6518F">
            <w:pPr>
              <w:rPr>
                <w:sz w:val="24"/>
                <w:szCs w:val="24"/>
              </w:rPr>
            </w:pPr>
          </w:p>
          <w:p w14:paraId="2D8B6F58" w14:textId="77777777" w:rsidR="004966C0" w:rsidRPr="00E35A4D" w:rsidRDefault="004966C0" w:rsidP="00F6518F">
            <w:pPr>
              <w:rPr>
                <w:sz w:val="24"/>
                <w:szCs w:val="24"/>
              </w:rPr>
            </w:pPr>
          </w:p>
          <w:p w14:paraId="593B5B9C" w14:textId="77777777" w:rsidR="004966C0" w:rsidRPr="00E35A4D" w:rsidRDefault="004966C0" w:rsidP="00F6518F">
            <w:pPr>
              <w:rPr>
                <w:sz w:val="24"/>
                <w:szCs w:val="24"/>
              </w:rPr>
            </w:pPr>
          </w:p>
          <w:p w14:paraId="553644F0" w14:textId="77777777" w:rsidR="004966C0" w:rsidRPr="00E35A4D" w:rsidRDefault="004966C0" w:rsidP="00F6518F">
            <w:pPr>
              <w:rPr>
                <w:sz w:val="24"/>
                <w:szCs w:val="24"/>
              </w:rPr>
            </w:pPr>
          </w:p>
          <w:p w14:paraId="1DFFA027" w14:textId="77777777" w:rsidR="004966C0" w:rsidRPr="00E35A4D" w:rsidRDefault="004966C0" w:rsidP="00F6518F">
            <w:pPr>
              <w:rPr>
                <w:sz w:val="24"/>
                <w:szCs w:val="24"/>
              </w:rPr>
            </w:pPr>
          </w:p>
          <w:p w14:paraId="72AFC065" w14:textId="77777777" w:rsidR="004966C0" w:rsidRPr="00E35A4D" w:rsidRDefault="004966C0" w:rsidP="00F6518F">
            <w:pPr>
              <w:rPr>
                <w:sz w:val="24"/>
                <w:szCs w:val="24"/>
              </w:rPr>
            </w:pPr>
          </w:p>
          <w:p w14:paraId="5B74E6CA" w14:textId="77777777" w:rsidR="004966C0" w:rsidRPr="00E35A4D" w:rsidRDefault="004966C0" w:rsidP="00F6518F">
            <w:pPr>
              <w:rPr>
                <w:sz w:val="24"/>
                <w:szCs w:val="24"/>
              </w:rPr>
            </w:pPr>
          </w:p>
          <w:p w14:paraId="2EC6B637" w14:textId="77777777" w:rsidR="004966C0" w:rsidRPr="00E35A4D" w:rsidRDefault="004966C0" w:rsidP="00F6518F">
            <w:pPr>
              <w:rPr>
                <w:sz w:val="24"/>
                <w:szCs w:val="24"/>
              </w:rPr>
            </w:pPr>
          </w:p>
          <w:p w14:paraId="184925DD" w14:textId="77777777" w:rsidR="004966C0" w:rsidRPr="00E35A4D" w:rsidRDefault="004966C0" w:rsidP="00F6518F">
            <w:pPr>
              <w:rPr>
                <w:sz w:val="24"/>
                <w:szCs w:val="24"/>
              </w:rPr>
            </w:pPr>
          </w:p>
          <w:p w14:paraId="493E4682" w14:textId="77777777" w:rsidR="004966C0" w:rsidRPr="00E35A4D" w:rsidRDefault="004966C0" w:rsidP="00F6518F">
            <w:pPr>
              <w:rPr>
                <w:sz w:val="24"/>
                <w:szCs w:val="24"/>
              </w:rPr>
            </w:pPr>
          </w:p>
          <w:p w14:paraId="7523BE0B" w14:textId="77777777" w:rsidR="004966C0" w:rsidRPr="00E35A4D" w:rsidRDefault="004966C0" w:rsidP="00F6518F">
            <w:pPr>
              <w:rPr>
                <w:sz w:val="24"/>
                <w:szCs w:val="24"/>
              </w:rPr>
            </w:pPr>
          </w:p>
          <w:p w14:paraId="773E9D82" w14:textId="77777777" w:rsidR="004966C0" w:rsidRPr="00E35A4D" w:rsidRDefault="004966C0" w:rsidP="00F6518F">
            <w:pPr>
              <w:rPr>
                <w:sz w:val="24"/>
                <w:szCs w:val="24"/>
              </w:rPr>
            </w:pPr>
          </w:p>
          <w:p w14:paraId="382D8B9F" w14:textId="77777777" w:rsidR="004966C0" w:rsidRPr="00E35A4D" w:rsidRDefault="004966C0" w:rsidP="00F6518F">
            <w:pPr>
              <w:rPr>
                <w:sz w:val="24"/>
                <w:szCs w:val="24"/>
              </w:rPr>
            </w:pPr>
          </w:p>
          <w:p w14:paraId="4652354B" w14:textId="77777777" w:rsidR="004966C0" w:rsidRPr="00E35A4D" w:rsidRDefault="004966C0" w:rsidP="00F6518F">
            <w:pPr>
              <w:rPr>
                <w:sz w:val="24"/>
                <w:szCs w:val="24"/>
              </w:rPr>
            </w:pPr>
          </w:p>
          <w:p w14:paraId="5AD3529D" w14:textId="77777777" w:rsidR="004966C0" w:rsidRPr="00E35A4D" w:rsidRDefault="004966C0" w:rsidP="00F6518F">
            <w:pPr>
              <w:rPr>
                <w:sz w:val="24"/>
                <w:szCs w:val="24"/>
              </w:rPr>
            </w:pPr>
          </w:p>
          <w:p w14:paraId="78153F1A" w14:textId="77777777" w:rsidR="004966C0" w:rsidRPr="00E35A4D" w:rsidRDefault="004966C0" w:rsidP="00F6518F">
            <w:pPr>
              <w:rPr>
                <w:sz w:val="24"/>
                <w:szCs w:val="24"/>
              </w:rPr>
            </w:pPr>
          </w:p>
          <w:p w14:paraId="6222C221" w14:textId="77777777" w:rsidR="004966C0" w:rsidRPr="00E35A4D" w:rsidRDefault="004966C0" w:rsidP="00F6518F">
            <w:pPr>
              <w:rPr>
                <w:sz w:val="24"/>
                <w:szCs w:val="24"/>
              </w:rPr>
            </w:pPr>
          </w:p>
          <w:p w14:paraId="6A7E453A" w14:textId="77777777" w:rsidR="004966C0" w:rsidRPr="00E35A4D" w:rsidRDefault="004966C0" w:rsidP="00F6518F">
            <w:pPr>
              <w:rPr>
                <w:sz w:val="24"/>
                <w:szCs w:val="24"/>
              </w:rPr>
            </w:pPr>
          </w:p>
          <w:p w14:paraId="0932A8BA" w14:textId="77777777" w:rsidR="004966C0" w:rsidRPr="00E35A4D" w:rsidRDefault="004966C0" w:rsidP="00F6518F">
            <w:pPr>
              <w:rPr>
                <w:sz w:val="24"/>
                <w:szCs w:val="24"/>
              </w:rPr>
            </w:pPr>
          </w:p>
          <w:p w14:paraId="777F9533" w14:textId="77777777" w:rsidR="004966C0" w:rsidRPr="00E35A4D" w:rsidRDefault="004966C0" w:rsidP="00F6518F">
            <w:pPr>
              <w:rPr>
                <w:sz w:val="24"/>
                <w:szCs w:val="24"/>
              </w:rPr>
            </w:pPr>
          </w:p>
          <w:p w14:paraId="748BB71E" w14:textId="77777777" w:rsidR="004966C0" w:rsidRPr="00E35A4D" w:rsidRDefault="004966C0" w:rsidP="00F6518F">
            <w:pPr>
              <w:rPr>
                <w:sz w:val="24"/>
                <w:szCs w:val="24"/>
              </w:rPr>
            </w:pPr>
          </w:p>
          <w:p w14:paraId="2EFCE1D3" w14:textId="77777777" w:rsidR="004966C0" w:rsidRPr="00E35A4D" w:rsidRDefault="004966C0" w:rsidP="00F6518F">
            <w:pPr>
              <w:rPr>
                <w:sz w:val="24"/>
                <w:szCs w:val="24"/>
              </w:rPr>
            </w:pPr>
          </w:p>
          <w:p w14:paraId="36703318" w14:textId="77777777" w:rsidR="004966C0" w:rsidRPr="00E35A4D" w:rsidRDefault="004966C0" w:rsidP="00F6518F">
            <w:pPr>
              <w:rPr>
                <w:sz w:val="24"/>
                <w:szCs w:val="24"/>
              </w:rPr>
            </w:pPr>
          </w:p>
        </w:tc>
      </w:tr>
    </w:tbl>
    <w:p w14:paraId="01A1564E" w14:textId="77777777" w:rsidR="004966C0" w:rsidRPr="00E35A4D" w:rsidRDefault="004966C0" w:rsidP="00D67AD5">
      <w:pPr>
        <w:rPr>
          <w:sz w:val="24"/>
          <w:szCs w:val="24"/>
        </w:rPr>
      </w:pPr>
    </w:p>
    <w:sectPr w:rsidR="004966C0" w:rsidRPr="00E35A4D" w:rsidSect="004966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BCA7" w14:textId="77777777" w:rsidR="00F64A14" w:rsidRDefault="00F64A14" w:rsidP="00CD46BB">
      <w:pPr>
        <w:spacing w:after="0" w:line="240" w:lineRule="auto"/>
      </w:pPr>
      <w:r>
        <w:separator/>
      </w:r>
    </w:p>
  </w:endnote>
  <w:endnote w:type="continuationSeparator" w:id="0">
    <w:p w14:paraId="0936B06B" w14:textId="77777777" w:rsidR="00F64A14" w:rsidRDefault="00F64A14" w:rsidP="00CD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iti SC">
    <w:altName w:val="Heiti SC Medium"/>
    <w:charset w:val="86"/>
    <w:family w:val="auto"/>
    <w:pitch w:val="variable"/>
    <w:sig w:usb0="8000002F" w:usb1="080E004A" w:usb2="00000010" w:usb3="00000000" w:csb0="003E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9515" w14:textId="77777777" w:rsidR="00CD46BB" w:rsidRDefault="00CD4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55274"/>
      <w:docPartObj>
        <w:docPartGallery w:val="Page Numbers (Bottom of Page)"/>
        <w:docPartUnique/>
      </w:docPartObj>
    </w:sdtPr>
    <w:sdtEndPr>
      <w:rPr>
        <w:noProof/>
      </w:rPr>
    </w:sdtEndPr>
    <w:sdtContent>
      <w:p w14:paraId="60513D9E" w14:textId="77777777" w:rsidR="00CD46BB" w:rsidRDefault="00CD46BB">
        <w:pPr>
          <w:pStyle w:val="Footer"/>
          <w:jc w:val="right"/>
        </w:pPr>
        <w:r>
          <w:fldChar w:fldCharType="begin"/>
        </w:r>
        <w:r>
          <w:instrText xml:space="preserve"> PAGE   \* MERGEFORMAT </w:instrText>
        </w:r>
        <w:r>
          <w:fldChar w:fldCharType="separate"/>
        </w:r>
        <w:r w:rsidR="005C212C">
          <w:rPr>
            <w:noProof/>
          </w:rPr>
          <w:t>4</w:t>
        </w:r>
        <w:r>
          <w:rPr>
            <w:noProof/>
          </w:rPr>
          <w:fldChar w:fldCharType="end"/>
        </w:r>
      </w:p>
    </w:sdtContent>
  </w:sdt>
  <w:p w14:paraId="27B5AFDD" w14:textId="77777777" w:rsidR="00CD46BB" w:rsidRDefault="00E75810">
    <w:pPr>
      <w:pStyle w:val="Footer"/>
    </w:pPr>
    <w:r>
      <w:t>JC Template 7.12.17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950A" w14:textId="77777777" w:rsidR="00CD46BB" w:rsidRDefault="00CD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DD59" w14:textId="77777777" w:rsidR="00F64A14" w:rsidRDefault="00F64A14" w:rsidP="00CD46BB">
      <w:pPr>
        <w:spacing w:after="0" w:line="240" w:lineRule="auto"/>
      </w:pPr>
      <w:r>
        <w:separator/>
      </w:r>
    </w:p>
  </w:footnote>
  <w:footnote w:type="continuationSeparator" w:id="0">
    <w:p w14:paraId="2A281B3D" w14:textId="77777777" w:rsidR="00F64A14" w:rsidRDefault="00F64A14" w:rsidP="00CD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7649" w14:textId="77777777" w:rsidR="00CD46BB" w:rsidRDefault="00CD4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4086" w14:textId="77777777" w:rsidR="00CD46BB" w:rsidRDefault="00CD4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E451" w14:textId="77777777" w:rsidR="00CD46BB" w:rsidRDefault="00CD4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03EE"/>
    <w:multiLevelType w:val="hybridMultilevel"/>
    <w:tmpl w:val="216A5782"/>
    <w:lvl w:ilvl="0" w:tplc="F69A25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861"/>
    <w:multiLevelType w:val="hybridMultilevel"/>
    <w:tmpl w:val="C81EAC3A"/>
    <w:lvl w:ilvl="0" w:tplc="7FEC13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568F1"/>
    <w:multiLevelType w:val="hybridMultilevel"/>
    <w:tmpl w:val="036807CA"/>
    <w:lvl w:ilvl="0" w:tplc="BD54F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F"/>
    <w:rsid w:val="00001D4E"/>
    <w:rsid w:val="00002DBC"/>
    <w:rsid w:val="000102B6"/>
    <w:rsid w:val="00020E04"/>
    <w:rsid w:val="00024AF9"/>
    <w:rsid w:val="00031338"/>
    <w:rsid w:val="00031CB1"/>
    <w:rsid w:val="00033549"/>
    <w:rsid w:val="00044C79"/>
    <w:rsid w:val="000459EF"/>
    <w:rsid w:val="00055D52"/>
    <w:rsid w:val="000648EB"/>
    <w:rsid w:val="0007369A"/>
    <w:rsid w:val="000741A2"/>
    <w:rsid w:val="000932AE"/>
    <w:rsid w:val="00096AC1"/>
    <w:rsid w:val="00097444"/>
    <w:rsid w:val="000B3592"/>
    <w:rsid w:val="000B4356"/>
    <w:rsid w:val="000B4828"/>
    <w:rsid w:val="000B56B2"/>
    <w:rsid w:val="000C245E"/>
    <w:rsid w:val="000D502F"/>
    <w:rsid w:val="000D5CDC"/>
    <w:rsid w:val="000D646E"/>
    <w:rsid w:val="000D6DDE"/>
    <w:rsid w:val="000E2E4F"/>
    <w:rsid w:val="000E3F74"/>
    <w:rsid w:val="000F09D3"/>
    <w:rsid w:val="000F34B6"/>
    <w:rsid w:val="001020E8"/>
    <w:rsid w:val="001026AD"/>
    <w:rsid w:val="00105A4A"/>
    <w:rsid w:val="00134DB5"/>
    <w:rsid w:val="00135B68"/>
    <w:rsid w:val="0014268A"/>
    <w:rsid w:val="00143D55"/>
    <w:rsid w:val="00143DAC"/>
    <w:rsid w:val="00144586"/>
    <w:rsid w:val="00147FF9"/>
    <w:rsid w:val="001506F9"/>
    <w:rsid w:val="001516BB"/>
    <w:rsid w:val="00154500"/>
    <w:rsid w:val="0015721D"/>
    <w:rsid w:val="0016093D"/>
    <w:rsid w:val="00160DC6"/>
    <w:rsid w:val="0016231F"/>
    <w:rsid w:val="00171A69"/>
    <w:rsid w:val="00174F8F"/>
    <w:rsid w:val="001835B9"/>
    <w:rsid w:val="00184E7E"/>
    <w:rsid w:val="00186633"/>
    <w:rsid w:val="00190E8C"/>
    <w:rsid w:val="001916E9"/>
    <w:rsid w:val="00197724"/>
    <w:rsid w:val="001A134E"/>
    <w:rsid w:val="001A65CB"/>
    <w:rsid w:val="001C1CE0"/>
    <w:rsid w:val="001C37E8"/>
    <w:rsid w:val="001D23C8"/>
    <w:rsid w:val="001D240A"/>
    <w:rsid w:val="001D4407"/>
    <w:rsid w:val="001E7786"/>
    <w:rsid w:val="001F0CED"/>
    <w:rsid w:val="001F0DBB"/>
    <w:rsid w:val="001F58AC"/>
    <w:rsid w:val="001F7C69"/>
    <w:rsid w:val="002006D4"/>
    <w:rsid w:val="00201133"/>
    <w:rsid w:val="00203F8D"/>
    <w:rsid w:val="002107CE"/>
    <w:rsid w:val="00212CC4"/>
    <w:rsid w:val="002142B9"/>
    <w:rsid w:val="002173CC"/>
    <w:rsid w:val="00221978"/>
    <w:rsid w:val="0022708A"/>
    <w:rsid w:val="002277F8"/>
    <w:rsid w:val="00232E2A"/>
    <w:rsid w:val="00240C7A"/>
    <w:rsid w:val="002434F3"/>
    <w:rsid w:val="00243B0A"/>
    <w:rsid w:val="00244443"/>
    <w:rsid w:val="00246D83"/>
    <w:rsid w:val="0025184A"/>
    <w:rsid w:val="002559C8"/>
    <w:rsid w:val="00255DBF"/>
    <w:rsid w:val="00256FA2"/>
    <w:rsid w:val="00257237"/>
    <w:rsid w:val="002613BD"/>
    <w:rsid w:val="002623DB"/>
    <w:rsid w:val="00273086"/>
    <w:rsid w:val="00274470"/>
    <w:rsid w:val="00286DB5"/>
    <w:rsid w:val="00291E95"/>
    <w:rsid w:val="002925B1"/>
    <w:rsid w:val="0029639C"/>
    <w:rsid w:val="002A353F"/>
    <w:rsid w:val="002A7224"/>
    <w:rsid w:val="002B219E"/>
    <w:rsid w:val="002C0649"/>
    <w:rsid w:val="002C1E4F"/>
    <w:rsid w:val="002C4ADD"/>
    <w:rsid w:val="002D60A9"/>
    <w:rsid w:val="002E1189"/>
    <w:rsid w:val="002F3B60"/>
    <w:rsid w:val="002F502D"/>
    <w:rsid w:val="00303636"/>
    <w:rsid w:val="003037FC"/>
    <w:rsid w:val="003164DC"/>
    <w:rsid w:val="003201F7"/>
    <w:rsid w:val="0032700C"/>
    <w:rsid w:val="00332CC1"/>
    <w:rsid w:val="00333FCD"/>
    <w:rsid w:val="00342BFC"/>
    <w:rsid w:val="003448CA"/>
    <w:rsid w:val="003451C6"/>
    <w:rsid w:val="00351EAE"/>
    <w:rsid w:val="00353144"/>
    <w:rsid w:val="003546FB"/>
    <w:rsid w:val="00354D68"/>
    <w:rsid w:val="00355832"/>
    <w:rsid w:val="003560E4"/>
    <w:rsid w:val="00357191"/>
    <w:rsid w:val="0036742B"/>
    <w:rsid w:val="00375638"/>
    <w:rsid w:val="003774F7"/>
    <w:rsid w:val="00381470"/>
    <w:rsid w:val="00384EE0"/>
    <w:rsid w:val="0039596C"/>
    <w:rsid w:val="003A2F43"/>
    <w:rsid w:val="003A4CA0"/>
    <w:rsid w:val="003B170D"/>
    <w:rsid w:val="003B24BF"/>
    <w:rsid w:val="003B5074"/>
    <w:rsid w:val="003C3C69"/>
    <w:rsid w:val="003D5DCA"/>
    <w:rsid w:val="003E03C4"/>
    <w:rsid w:val="003E252B"/>
    <w:rsid w:val="003E3688"/>
    <w:rsid w:val="003E3C87"/>
    <w:rsid w:val="003E5802"/>
    <w:rsid w:val="003F2E96"/>
    <w:rsid w:val="003F7248"/>
    <w:rsid w:val="004005F5"/>
    <w:rsid w:val="004016BC"/>
    <w:rsid w:val="00402860"/>
    <w:rsid w:val="00402B9E"/>
    <w:rsid w:val="00411F8E"/>
    <w:rsid w:val="00413AB3"/>
    <w:rsid w:val="00433234"/>
    <w:rsid w:val="00436C10"/>
    <w:rsid w:val="00441002"/>
    <w:rsid w:val="004411DB"/>
    <w:rsid w:val="0044136A"/>
    <w:rsid w:val="004445B9"/>
    <w:rsid w:val="00445DDA"/>
    <w:rsid w:val="004513D1"/>
    <w:rsid w:val="00462092"/>
    <w:rsid w:val="00462CE2"/>
    <w:rsid w:val="00462D01"/>
    <w:rsid w:val="0046307D"/>
    <w:rsid w:val="004635F9"/>
    <w:rsid w:val="00463E42"/>
    <w:rsid w:val="00470205"/>
    <w:rsid w:val="00472FE5"/>
    <w:rsid w:val="004767BB"/>
    <w:rsid w:val="00477D27"/>
    <w:rsid w:val="0048223A"/>
    <w:rsid w:val="004872EE"/>
    <w:rsid w:val="00492DE7"/>
    <w:rsid w:val="00494523"/>
    <w:rsid w:val="004966C0"/>
    <w:rsid w:val="004A37A4"/>
    <w:rsid w:val="004A3B6B"/>
    <w:rsid w:val="004A7305"/>
    <w:rsid w:val="004B010E"/>
    <w:rsid w:val="004B12D1"/>
    <w:rsid w:val="004B1B08"/>
    <w:rsid w:val="004B33E3"/>
    <w:rsid w:val="004B6608"/>
    <w:rsid w:val="004B7C7D"/>
    <w:rsid w:val="004C12E1"/>
    <w:rsid w:val="004C6E9C"/>
    <w:rsid w:val="004E065E"/>
    <w:rsid w:val="004E0B9E"/>
    <w:rsid w:val="004E10E1"/>
    <w:rsid w:val="004E2B83"/>
    <w:rsid w:val="004E5A6F"/>
    <w:rsid w:val="00510AC0"/>
    <w:rsid w:val="00511AAD"/>
    <w:rsid w:val="0051353F"/>
    <w:rsid w:val="005138A0"/>
    <w:rsid w:val="0051504E"/>
    <w:rsid w:val="00522018"/>
    <w:rsid w:val="00524364"/>
    <w:rsid w:val="0052592A"/>
    <w:rsid w:val="00526B02"/>
    <w:rsid w:val="005321A8"/>
    <w:rsid w:val="005339D9"/>
    <w:rsid w:val="00535D75"/>
    <w:rsid w:val="0054489E"/>
    <w:rsid w:val="005448CC"/>
    <w:rsid w:val="00547333"/>
    <w:rsid w:val="0055675C"/>
    <w:rsid w:val="00557852"/>
    <w:rsid w:val="00563EF4"/>
    <w:rsid w:val="0056406A"/>
    <w:rsid w:val="0057142F"/>
    <w:rsid w:val="00571BAA"/>
    <w:rsid w:val="00585E99"/>
    <w:rsid w:val="00587868"/>
    <w:rsid w:val="00590048"/>
    <w:rsid w:val="00591090"/>
    <w:rsid w:val="00592E2B"/>
    <w:rsid w:val="00594E2D"/>
    <w:rsid w:val="005953C6"/>
    <w:rsid w:val="00596D13"/>
    <w:rsid w:val="005A7D59"/>
    <w:rsid w:val="005B2336"/>
    <w:rsid w:val="005C212C"/>
    <w:rsid w:val="005C6393"/>
    <w:rsid w:val="005C7871"/>
    <w:rsid w:val="005D3053"/>
    <w:rsid w:val="005E2C22"/>
    <w:rsid w:val="005F1FF8"/>
    <w:rsid w:val="005F224E"/>
    <w:rsid w:val="005F47BB"/>
    <w:rsid w:val="005F50E0"/>
    <w:rsid w:val="005F6554"/>
    <w:rsid w:val="005F6697"/>
    <w:rsid w:val="0060022E"/>
    <w:rsid w:val="00607DBF"/>
    <w:rsid w:val="0061005A"/>
    <w:rsid w:val="00610604"/>
    <w:rsid w:val="00611580"/>
    <w:rsid w:val="00613FA4"/>
    <w:rsid w:val="00617A42"/>
    <w:rsid w:val="00625017"/>
    <w:rsid w:val="0063631C"/>
    <w:rsid w:val="006372D7"/>
    <w:rsid w:val="00637E14"/>
    <w:rsid w:val="0064397D"/>
    <w:rsid w:val="0064515A"/>
    <w:rsid w:val="006631DA"/>
    <w:rsid w:val="00663488"/>
    <w:rsid w:val="00663ADC"/>
    <w:rsid w:val="0067176F"/>
    <w:rsid w:val="00674D06"/>
    <w:rsid w:val="00684C5F"/>
    <w:rsid w:val="00690279"/>
    <w:rsid w:val="00691D36"/>
    <w:rsid w:val="00692B46"/>
    <w:rsid w:val="00693978"/>
    <w:rsid w:val="006947FD"/>
    <w:rsid w:val="0069799F"/>
    <w:rsid w:val="006A10F0"/>
    <w:rsid w:val="006A1ABC"/>
    <w:rsid w:val="006A2857"/>
    <w:rsid w:val="006A7762"/>
    <w:rsid w:val="006A7FCF"/>
    <w:rsid w:val="006B2C04"/>
    <w:rsid w:val="006B7FAB"/>
    <w:rsid w:val="006C20D8"/>
    <w:rsid w:val="006C292C"/>
    <w:rsid w:val="006C2C0A"/>
    <w:rsid w:val="006C4E23"/>
    <w:rsid w:val="006C7755"/>
    <w:rsid w:val="006D4464"/>
    <w:rsid w:val="006D776A"/>
    <w:rsid w:val="006E16F3"/>
    <w:rsid w:val="006E4B25"/>
    <w:rsid w:val="006E5F77"/>
    <w:rsid w:val="006F3040"/>
    <w:rsid w:val="006F3499"/>
    <w:rsid w:val="006F7842"/>
    <w:rsid w:val="00707778"/>
    <w:rsid w:val="00707851"/>
    <w:rsid w:val="00712922"/>
    <w:rsid w:val="00724D85"/>
    <w:rsid w:val="00733402"/>
    <w:rsid w:val="00737803"/>
    <w:rsid w:val="00737C9A"/>
    <w:rsid w:val="00741D7D"/>
    <w:rsid w:val="00745E0D"/>
    <w:rsid w:val="00747D06"/>
    <w:rsid w:val="007551C8"/>
    <w:rsid w:val="00756A02"/>
    <w:rsid w:val="0076663C"/>
    <w:rsid w:val="007708CD"/>
    <w:rsid w:val="00781934"/>
    <w:rsid w:val="00782897"/>
    <w:rsid w:val="00783207"/>
    <w:rsid w:val="00785913"/>
    <w:rsid w:val="0078632A"/>
    <w:rsid w:val="007930C5"/>
    <w:rsid w:val="007932A0"/>
    <w:rsid w:val="00797274"/>
    <w:rsid w:val="007A591E"/>
    <w:rsid w:val="007A6778"/>
    <w:rsid w:val="007B32A6"/>
    <w:rsid w:val="007C1652"/>
    <w:rsid w:val="007C5689"/>
    <w:rsid w:val="007D002B"/>
    <w:rsid w:val="007D1249"/>
    <w:rsid w:val="007D32EE"/>
    <w:rsid w:val="007D40A1"/>
    <w:rsid w:val="007D6ED1"/>
    <w:rsid w:val="007E6D1F"/>
    <w:rsid w:val="007E7800"/>
    <w:rsid w:val="007F1EA0"/>
    <w:rsid w:val="008052B2"/>
    <w:rsid w:val="0080762F"/>
    <w:rsid w:val="008107F1"/>
    <w:rsid w:val="00810FEC"/>
    <w:rsid w:val="00812209"/>
    <w:rsid w:val="0081256A"/>
    <w:rsid w:val="00823658"/>
    <w:rsid w:val="00825E00"/>
    <w:rsid w:val="00832C79"/>
    <w:rsid w:val="008375B2"/>
    <w:rsid w:val="00841359"/>
    <w:rsid w:val="00852500"/>
    <w:rsid w:val="00852701"/>
    <w:rsid w:val="0085485D"/>
    <w:rsid w:val="00855D3D"/>
    <w:rsid w:val="00863711"/>
    <w:rsid w:val="00866499"/>
    <w:rsid w:val="00867580"/>
    <w:rsid w:val="0087266F"/>
    <w:rsid w:val="008728A3"/>
    <w:rsid w:val="00891608"/>
    <w:rsid w:val="00894C60"/>
    <w:rsid w:val="008953E3"/>
    <w:rsid w:val="008A1C1A"/>
    <w:rsid w:val="008A6F1E"/>
    <w:rsid w:val="008B08DA"/>
    <w:rsid w:val="008B1E42"/>
    <w:rsid w:val="008B3AF1"/>
    <w:rsid w:val="008C0A26"/>
    <w:rsid w:val="008C735D"/>
    <w:rsid w:val="008D2406"/>
    <w:rsid w:val="008D3968"/>
    <w:rsid w:val="008E696B"/>
    <w:rsid w:val="008E7E6A"/>
    <w:rsid w:val="008F5493"/>
    <w:rsid w:val="0090252A"/>
    <w:rsid w:val="0090731E"/>
    <w:rsid w:val="00920978"/>
    <w:rsid w:val="00924BDF"/>
    <w:rsid w:val="00925274"/>
    <w:rsid w:val="0092632D"/>
    <w:rsid w:val="00931292"/>
    <w:rsid w:val="00931ED0"/>
    <w:rsid w:val="00934214"/>
    <w:rsid w:val="009377D2"/>
    <w:rsid w:val="00944BA5"/>
    <w:rsid w:val="00950064"/>
    <w:rsid w:val="009541FD"/>
    <w:rsid w:val="00954DA2"/>
    <w:rsid w:val="00961ED6"/>
    <w:rsid w:val="00963C40"/>
    <w:rsid w:val="00964203"/>
    <w:rsid w:val="00966644"/>
    <w:rsid w:val="0097188F"/>
    <w:rsid w:val="00986DBF"/>
    <w:rsid w:val="00987164"/>
    <w:rsid w:val="00987845"/>
    <w:rsid w:val="009903C8"/>
    <w:rsid w:val="009A14EE"/>
    <w:rsid w:val="009A48E0"/>
    <w:rsid w:val="009B5E19"/>
    <w:rsid w:val="009B6C75"/>
    <w:rsid w:val="009B751A"/>
    <w:rsid w:val="009C0BD9"/>
    <w:rsid w:val="009C6604"/>
    <w:rsid w:val="009D0DEE"/>
    <w:rsid w:val="009D745C"/>
    <w:rsid w:val="009E30F3"/>
    <w:rsid w:val="009E3120"/>
    <w:rsid w:val="009F3382"/>
    <w:rsid w:val="009F3E7B"/>
    <w:rsid w:val="00A04336"/>
    <w:rsid w:val="00A12C78"/>
    <w:rsid w:val="00A16884"/>
    <w:rsid w:val="00A31A49"/>
    <w:rsid w:val="00A35389"/>
    <w:rsid w:val="00A50C7D"/>
    <w:rsid w:val="00A56256"/>
    <w:rsid w:val="00A65F9F"/>
    <w:rsid w:val="00A67947"/>
    <w:rsid w:val="00A706DF"/>
    <w:rsid w:val="00A71EF4"/>
    <w:rsid w:val="00A72214"/>
    <w:rsid w:val="00A72F3E"/>
    <w:rsid w:val="00A7598E"/>
    <w:rsid w:val="00A7726E"/>
    <w:rsid w:val="00A87114"/>
    <w:rsid w:val="00A91644"/>
    <w:rsid w:val="00AA196B"/>
    <w:rsid w:val="00AA312E"/>
    <w:rsid w:val="00AA6FC3"/>
    <w:rsid w:val="00AB2FD1"/>
    <w:rsid w:val="00AC0F21"/>
    <w:rsid w:val="00AC6C7B"/>
    <w:rsid w:val="00AC6F36"/>
    <w:rsid w:val="00AD38B4"/>
    <w:rsid w:val="00AF3AAB"/>
    <w:rsid w:val="00AF4383"/>
    <w:rsid w:val="00AF5662"/>
    <w:rsid w:val="00AF6466"/>
    <w:rsid w:val="00B032AB"/>
    <w:rsid w:val="00B0644C"/>
    <w:rsid w:val="00B25FC3"/>
    <w:rsid w:val="00B27D9B"/>
    <w:rsid w:val="00B27DC7"/>
    <w:rsid w:val="00B34FA8"/>
    <w:rsid w:val="00B41C86"/>
    <w:rsid w:val="00B42C5A"/>
    <w:rsid w:val="00B46850"/>
    <w:rsid w:val="00B471BD"/>
    <w:rsid w:val="00B56D99"/>
    <w:rsid w:val="00B57B71"/>
    <w:rsid w:val="00B60599"/>
    <w:rsid w:val="00B627DD"/>
    <w:rsid w:val="00B6291C"/>
    <w:rsid w:val="00B63F62"/>
    <w:rsid w:val="00B66ECB"/>
    <w:rsid w:val="00B72C6E"/>
    <w:rsid w:val="00B82732"/>
    <w:rsid w:val="00B85DAB"/>
    <w:rsid w:val="00B869A7"/>
    <w:rsid w:val="00BA2A6F"/>
    <w:rsid w:val="00BA399C"/>
    <w:rsid w:val="00BB179A"/>
    <w:rsid w:val="00BC154F"/>
    <w:rsid w:val="00BD1325"/>
    <w:rsid w:val="00BD4CE4"/>
    <w:rsid w:val="00BD5704"/>
    <w:rsid w:val="00BE6DEB"/>
    <w:rsid w:val="00BF6723"/>
    <w:rsid w:val="00C00546"/>
    <w:rsid w:val="00C11BF9"/>
    <w:rsid w:val="00C1415B"/>
    <w:rsid w:val="00C25F67"/>
    <w:rsid w:val="00C27EBC"/>
    <w:rsid w:val="00C3042F"/>
    <w:rsid w:val="00C347AA"/>
    <w:rsid w:val="00C42539"/>
    <w:rsid w:val="00C46BA4"/>
    <w:rsid w:val="00C512AE"/>
    <w:rsid w:val="00C535DF"/>
    <w:rsid w:val="00C6033A"/>
    <w:rsid w:val="00C619DA"/>
    <w:rsid w:val="00C769A5"/>
    <w:rsid w:val="00C76DF3"/>
    <w:rsid w:val="00C770ED"/>
    <w:rsid w:val="00C8040C"/>
    <w:rsid w:val="00C812C7"/>
    <w:rsid w:val="00C85CF6"/>
    <w:rsid w:val="00C85D24"/>
    <w:rsid w:val="00C908B5"/>
    <w:rsid w:val="00C95D0F"/>
    <w:rsid w:val="00CA2D44"/>
    <w:rsid w:val="00CA2F5A"/>
    <w:rsid w:val="00CC4A43"/>
    <w:rsid w:val="00CC564A"/>
    <w:rsid w:val="00CD24B6"/>
    <w:rsid w:val="00CD30F8"/>
    <w:rsid w:val="00CD46BB"/>
    <w:rsid w:val="00CD7714"/>
    <w:rsid w:val="00CE2EF1"/>
    <w:rsid w:val="00CE424C"/>
    <w:rsid w:val="00CF0130"/>
    <w:rsid w:val="00CF3833"/>
    <w:rsid w:val="00D06D1E"/>
    <w:rsid w:val="00D157F9"/>
    <w:rsid w:val="00D175D6"/>
    <w:rsid w:val="00D20A31"/>
    <w:rsid w:val="00D240B1"/>
    <w:rsid w:val="00D31882"/>
    <w:rsid w:val="00D328DD"/>
    <w:rsid w:val="00D34EFA"/>
    <w:rsid w:val="00D354F4"/>
    <w:rsid w:val="00D42124"/>
    <w:rsid w:val="00D42CD5"/>
    <w:rsid w:val="00D53C0A"/>
    <w:rsid w:val="00D55BD6"/>
    <w:rsid w:val="00D55D21"/>
    <w:rsid w:val="00D567F6"/>
    <w:rsid w:val="00D57BC3"/>
    <w:rsid w:val="00D61C52"/>
    <w:rsid w:val="00D65A2F"/>
    <w:rsid w:val="00D6773F"/>
    <w:rsid w:val="00D67AD5"/>
    <w:rsid w:val="00D71BFB"/>
    <w:rsid w:val="00D725F0"/>
    <w:rsid w:val="00D85BE1"/>
    <w:rsid w:val="00D8606B"/>
    <w:rsid w:val="00D87D9F"/>
    <w:rsid w:val="00D92FBB"/>
    <w:rsid w:val="00D95270"/>
    <w:rsid w:val="00DA0CA8"/>
    <w:rsid w:val="00DA2242"/>
    <w:rsid w:val="00DA3F04"/>
    <w:rsid w:val="00DA7D7E"/>
    <w:rsid w:val="00DB3452"/>
    <w:rsid w:val="00DB3957"/>
    <w:rsid w:val="00DB4CCA"/>
    <w:rsid w:val="00DB5C68"/>
    <w:rsid w:val="00DC58C5"/>
    <w:rsid w:val="00DC6BEB"/>
    <w:rsid w:val="00DD6D79"/>
    <w:rsid w:val="00DE2167"/>
    <w:rsid w:val="00DE750F"/>
    <w:rsid w:val="00DF1006"/>
    <w:rsid w:val="00DF19AB"/>
    <w:rsid w:val="00DF2591"/>
    <w:rsid w:val="00E012A9"/>
    <w:rsid w:val="00E05B8D"/>
    <w:rsid w:val="00E06837"/>
    <w:rsid w:val="00E10AB5"/>
    <w:rsid w:val="00E11376"/>
    <w:rsid w:val="00E15F9F"/>
    <w:rsid w:val="00E17ABB"/>
    <w:rsid w:val="00E30527"/>
    <w:rsid w:val="00E33277"/>
    <w:rsid w:val="00E33BAF"/>
    <w:rsid w:val="00E34689"/>
    <w:rsid w:val="00E35A4D"/>
    <w:rsid w:val="00E35CEE"/>
    <w:rsid w:val="00E36694"/>
    <w:rsid w:val="00E4198A"/>
    <w:rsid w:val="00E4239D"/>
    <w:rsid w:val="00E46D57"/>
    <w:rsid w:val="00E471CD"/>
    <w:rsid w:val="00E56368"/>
    <w:rsid w:val="00E6704E"/>
    <w:rsid w:val="00E7077A"/>
    <w:rsid w:val="00E75810"/>
    <w:rsid w:val="00E763DB"/>
    <w:rsid w:val="00E77F91"/>
    <w:rsid w:val="00E83900"/>
    <w:rsid w:val="00E85D7D"/>
    <w:rsid w:val="00E92870"/>
    <w:rsid w:val="00EA2EA3"/>
    <w:rsid w:val="00EA3A78"/>
    <w:rsid w:val="00EB1DA7"/>
    <w:rsid w:val="00EC2795"/>
    <w:rsid w:val="00ED212E"/>
    <w:rsid w:val="00ED51F5"/>
    <w:rsid w:val="00EE3B93"/>
    <w:rsid w:val="00EE7BE2"/>
    <w:rsid w:val="00EF0427"/>
    <w:rsid w:val="00EF553F"/>
    <w:rsid w:val="00F01529"/>
    <w:rsid w:val="00F05D9C"/>
    <w:rsid w:val="00F14A4D"/>
    <w:rsid w:val="00F16587"/>
    <w:rsid w:val="00F21932"/>
    <w:rsid w:val="00F241EB"/>
    <w:rsid w:val="00F2690E"/>
    <w:rsid w:val="00F33CC0"/>
    <w:rsid w:val="00F35B85"/>
    <w:rsid w:val="00F3784E"/>
    <w:rsid w:val="00F42B1B"/>
    <w:rsid w:val="00F44C0F"/>
    <w:rsid w:val="00F472E4"/>
    <w:rsid w:val="00F51CCC"/>
    <w:rsid w:val="00F52AA4"/>
    <w:rsid w:val="00F52D02"/>
    <w:rsid w:val="00F61659"/>
    <w:rsid w:val="00F637CD"/>
    <w:rsid w:val="00F64A14"/>
    <w:rsid w:val="00F6518F"/>
    <w:rsid w:val="00F6655D"/>
    <w:rsid w:val="00F71314"/>
    <w:rsid w:val="00F7389D"/>
    <w:rsid w:val="00F7500F"/>
    <w:rsid w:val="00F8403C"/>
    <w:rsid w:val="00F90EB5"/>
    <w:rsid w:val="00FB2097"/>
    <w:rsid w:val="00FB4F2A"/>
    <w:rsid w:val="00FC2273"/>
    <w:rsid w:val="00FC4BD5"/>
    <w:rsid w:val="00FC535A"/>
    <w:rsid w:val="00FC712F"/>
    <w:rsid w:val="00FD0A0E"/>
    <w:rsid w:val="00FD7F5E"/>
    <w:rsid w:val="00FE1DA7"/>
    <w:rsid w:val="00FE208B"/>
    <w:rsid w:val="00FE2BA8"/>
    <w:rsid w:val="00FE3BAC"/>
    <w:rsid w:val="00FF0649"/>
    <w:rsid w:val="00FF28FC"/>
    <w:rsid w:val="00FF345D"/>
    <w:rsid w:val="00FF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81CA5"/>
  <w15:docId w15:val="{130E675C-8B16-4752-95B5-E52C0669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BB"/>
  </w:style>
  <w:style w:type="paragraph" w:styleId="Footer">
    <w:name w:val="footer"/>
    <w:basedOn w:val="Normal"/>
    <w:link w:val="FooterChar"/>
    <w:uiPriority w:val="99"/>
    <w:unhideWhenUsed/>
    <w:rsid w:val="00CD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BB"/>
  </w:style>
  <w:style w:type="paragraph" w:styleId="ListParagraph">
    <w:name w:val="List Paragraph"/>
    <w:basedOn w:val="Normal"/>
    <w:uiPriority w:val="34"/>
    <w:qFormat/>
    <w:rsid w:val="00FC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 Strout</dc:creator>
  <cp:lastModifiedBy>jeff holmes</cp:lastModifiedBy>
  <cp:revision>2</cp:revision>
  <cp:lastPrinted>2017-07-12T15:02:00Z</cp:lastPrinted>
  <dcterms:created xsi:type="dcterms:W3CDTF">2017-09-06T23:14:00Z</dcterms:created>
  <dcterms:modified xsi:type="dcterms:W3CDTF">2017-09-06T23:14:00Z</dcterms:modified>
</cp:coreProperties>
</file>